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1.png" ContentType="image/jpeg"/>
  <Override PartName="/word/media/image10.png" ContentType="image/jpeg"/>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media/image8.png" ContentType="image/jpeg"/>
  <Override PartName="/word/media/image9.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p>
    <w:p>
      <w:pPr>
        <w:spacing w:after="240"/>
      </w:pPr>
    </w:p>
    <w:p>
      <w:pPr>
        <w:spacing w:after="240"/>
      </w:pPr>
    </w:p>
    <w:p>
      <w:pPr>
        <w:spacing w:after="240"/>
      </w:pPr>
    </w:p>
    <w:p>
      <w:pPr>
        <w:spacing w:after="240"/>
      </w:pPr>
    </w:p>
    <w:p>
      <w:pPr>
        <w:spacing w:after="360"/>
        <w:jc w:val="center"/>
      </w:pPr>
      <w:r>
        <w:rPr>
          <w:rFonts w:ascii="Calibri" w:hAnsi="Calibri"/>
          <w:b/>
          <w:color w:val="1F6F74"/>
          <w:sz w:val="20"/>
        </w:rPr>
        <w:t>RESEARCH WORKSPACE MANUAL</w:t>
      </w:r>
    </w:p>
    <w:p>
      <w:pPr>
        <w:spacing w:after="160"/>
        <w:jc w:val="center"/>
      </w:pPr>
      <w:r>
        <w:rPr>
          <w:rFonts w:ascii="Calibri" w:hAnsi="Calibri"/>
          <w:b/>
          <w:color w:val="0B2545"/>
          <w:sz w:val="60"/>
        </w:rPr>
        <w:t>Daphnia Browser</w:t>
      </w:r>
    </w:p>
    <w:p>
      <w:pPr>
        <w:spacing w:after="200"/>
        <w:jc w:val="center"/>
      </w:pPr>
      <w:r>
        <w:rPr>
          <w:rFonts w:ascii="Calibri" w:hAnsi="Calibri"/>
          <w:color w:val="1F6F74"/>
          <w:sz w:val="32"/>
        </w:rPr>
        <w:t>Detailed English User Guide</w:t>
      </w:r>
    </w:p>
    <w:p>
      <w:pPr>
        <w:spacing w:after="1400"/>
        <w:jc w:val="center"/>
      </w:pPr>
      <w:r>
        <w:rPr>
          <w:rFonts w:ascii="Calibri" w:hAnsi="Calibri"/>
          <w:i/>
          <w:color w:val="60747B"/>
          <w:sz w:val="22"/>
        </w:rPr>
        <w:t>A complete photo-lyase walkthrough from gene search to experimental design</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8EEF5"/>
            <w:vAlign w:val="center"/>
            <w:tcMar>
              <w:top w:w="80" w:type="dxa"/>
              <w:bottom w:w="80" w:type="dxa"/>
              <w:start w:w="120" w:type="dxa"/>
              <w:end w:w="120" w:type="dxa"/>
            </w:tcMar>
          </w:tcPr>
          <w:p>
            <w:r>
              <w:rPr>
                <w:rFonts w:ascii="Calibri" w:hAnsi="Calibri"/>
                <w:b/>
                <w:color w:val="1F4D78"/>
                <w:sz w:val="20"/>
              </w:rPr>
              <w:t>Example query</w:t>
            </w:r>
          </w:p>
        </w:tc>
        <w:tc>
          <w:tcPr>
            <w:tcW w:type="dxa" w:w="6660"/>
            <w:vAlign w:val="center"/>
            <w:tcMar>
              <w:top w:w="80" w:type="dxa"/>
              <w:bottom w:w="80" w:type="dxa"/>
              <w:start w:w="120" w:type="dxa"/>
              <w:end w:w="120" w:type="dxa"/>
            </w:tcMar>
          </w:tcPr>
          <w:p>
            <w:r>
              <w:rPr>
                <w:rFonts w:ascii="Calibri" w:hAnsi="Calibri"/>
                <w:color w:val="0B2545"/>
                <w:sz w:val="20"/>
              </w:rPr>
              <w:t>photo-lyase</w:t>
            </w:r>
          </w:p>
        </w:tc>
      </w:tr>
      <w:tr>
        <w:tc>
          <w:tcPr>
            <w:tcW w:type="dxa" w:w="2700"/>
            <w:shd w:fill="E8EEF5"/>
            <w:vAlign w:val="center"/>
            <w:tcMar>
              <w:top w:w="80" w:type="dxa"/>
              <w:bottom w:w="80" w:type="dxa"/>
              <w:start w:w="120" w:type="dxa"/>
              <w:end w:w="120" w:type="dxa"/>
            </w:tcMar>
          </w:tcPr>
          <w:p>
            <w:r>
              <w:rPr>
                <w:rFonts w:ascii="Calibri" w:hAnsi="Calibri"/>
                <w:b/>
                <w:color w:val="1F4D78"/>
                <w:sz w:val="20"/>
              </w:rPr>
              <w:t>Example gene</w:t>
            </w:r>
          </w:p>
        </w:tc>
        <w:tc>
          <w:tcPr>
            <w:tcW w:type="dxa" w:w="6660"/>
            <w:vAlign w:val="center"/>
            <w:tcMar>
              <w:top w:w="80" w:type="dxa"/>
              <w:bottom w:w="80" w:type="dxa"/>
              <w:start w:w="120" w:type="dxa"/>
              <w:end w:w="120" w:type="dxa"/>
            </w:tcMar>
          </w:tcPr>
          <w:p>
            <w:r>
              <w:rPr>
                <w:rFonts w:ascii="Calibri" w:hAnsi="Calibri"/>
                <w:color w:val="0B2545"/>
                <w:sz w:val="20"/>
              </w:rPr>
              <w:t>LOC116919804 · NCBI GeneID 116919804</w:t>
            </w:r>
          </w:p>
        </w:tc>
      </w:tr>
      <w:tr>
        <w:tc>
          <w:tcPr>
            <w:tcW w:type="dxa" w:w="2700"/>
            <w:shd w:fill="E8EEF5"/>
            <w:vAlign w:val="center"/>
            <w:tcMar>
              <w:top w:w="80" w:type="dxa"/>
              <w:bottom w:w="80" w:type="dxa"/>
              <w:start w:w="120" w:type="dxa"/>
              <w:end w:w="120" w:type="dxa"/>
            </w:tcMar>
          </w:tcPr>
          <w:p>
            <w:r>
              <w:rPr>
                <w:rFonts w:ascii="Calibri" w:hAnsi="Calibri"/>
                <w:b/>
                <w:color w:val="1F4D78"/>
                <w:sz w:val="20"/>
              </w:rPr>
              <w:t>Representative protein</w:t>
            </w:r>
          </w:p>
        </w:tc>
        <w:tc>
          <w:tcPr>
            <w:tcW w:type="dxa" w:w="6660"/>
            <w:vAlign w:val="center"/>
            <w:tcMar>
              <w:top w:w="80" w:type="dxa"/>
              <w:bottom w:w="80" w:type="dxa"/>
              <w:start w:w="120" w:type="dxa"/>
              <w:end w:w="120" w:type="dxa"/>
            </w:tcMar>
          </w:tcPr>
          <w:p>
            <w:r>
              <w:rPr>
                <w:rFonts w:ascii="Calibri" w:hAnsi="Calibri"/>
                <w:color w:val="0B2545"/>
                <w:sz w:val="20"/>
              </w:rPr>
              <w:t>XP_032781741.2 · 523 aa</w:t>
            </w:r>
          </w:p>
        </w:tc>
      </w:tr>
      <w:tr>
        <w:tc>
          <w:tcPr>
            <w:tcW w:type="dxa" w:w="2700"/>
            <w:shd w:fill="E8EEF5"/>
            <w:vAlign w:val="center"/>
            <w:tcMar>
              <w:top w:w="80" w:type="dxa"/>
              <w:bottom w:w="80" w:type="dxa"/>
              <w:start w:w="120" w:type="dxa"/>
              <w:end w:w="120" w:type="dxa"/>
            </w:tcMar>
          </w:tcPr>
          <w:p>
            <w:r>
              <w:rPr>
                <w:rFonts w:ascii="Calibri" w:hAnsi="Calibri"/>
                <w:b/>
                <w:color w:val="1F4D78"/>
                <w:sz w:val="20"/>
              </w:rPr>
              <w:t>Reference assembly</w:t>
            </w:r>
          </w:p>
        </w:tc>
        <w:tc>
          <w:tcPr>
            <w:tcW w:type="dxa" w:w="6660"/>
            <w:vAlign w:val="center"/>
            <w:tcMar>
              <w:top w:w="80" w:type="dxa"/>
              <w:bottom w:w="80" w:type="dxa"/>
              <w:start w:w="120" w:type="dxa"/>
              <w:end w:w="120" w:type="dxa"/>
            </w:tcMar>
          </w:tcPr>
          <w:p>
            <w:r>
              <w:rPr>
                <w:rFonts w:ascii="Calibri" w:hAnsi="Calibri"/>
                <w:color w:val="0B2545"/>
                <w:sz w:val="20"/>
              </w:rPr>
              <w:t>Daphnia magna (NIES) · GCF_020631705.1</w:t>
            </w:r>
          </w:p>
        </w:tc>
      </w:tr>
      <w:tr>
        <w:tc>
          <w:tcPr>
            <w:tcW w:type="dxa" w:w="2700"/>
            <w:shd w:fill="E8EEF5"/>
            <w:vAlign w:val="center"/>
            <w:tcMar>
              <w:top w:w="80" w:type="dxa"/>
              <w:bottom w:w="80" w:type="dxa"/>
              <w:start w:w="120" w:type="dxa"/>
              <w:end w:w="120" w:type="dxa"/>
            </w:tcMar>
          </w:tcPr>
          <w:p>
            <w:r>
              <w:rPr>
                <w:rFonts w:ascii="Calibri" w:hAnsi="Calibri"/>
                <w:b/>
                <w:color w:val="1F4D78"/>
                <w:sz w:val="20"/>
              </w:rPr>
              <w:t>Guide version</w:t>
            </w:r>
          </w:p>
        </w:tc>
        <w:tc>
          <w:tcPr>
            <w:tcW w:type="dxa" w:w="6660"/>
            <w:vAlign w:val="center"/>
            <w:tcMar>
              <w:top w:w="80" w:type="dxa"/>
              <w:bottom w:w="80" w:type="dxa"/>
              <w:start w:w="120" w:type="dxa"/>
              <w:end w:w="120" w:type="dxa"/>
            </w:tcMar>
          </w:tcPr>
          <w:p>
            <w:r>
              <w:rPr>
                <w:rFonts w:ascii="Calibri" w:hAnsi="Calibri"/>
                <w:color w:val="0B2545"/>
                <w:sz w:val="20"/>
              </w:rPr>
              <w:t>2026.09.03.1</w:t>
            </w:r>
          </w:p>
        </w:tc>
      </w:tr>
    </w:tbl>
    <w:p>
      <w:pPr>
        <w:spacing w:before="560"/>
        <w:jc w:val="center"/>
      </w:pPr>
      <w:r>
        <w:rPr>
          <w:rFonts w:ascii="Calibri" w:hAnsi="Calibri"/>
          <w:color w:val="60747B"/>
          <w:sz w:val="20"/>
        </w:rPr>
        <w:t>Prepared for the Sen Xu Lab private research workspace</w:t>
      </w:r>
    </w:p>
    <w:p>
      <w:r>
        <w:br w:type="page"/>
      </w:r>
    </w:p>
    <w:p>
      <w:pPr>
        <w:pStyle w:val="Heading1"/>
      </w:pPr>
      <w:r>
        <w:t>1. Purpose and scope</w:t>
      </w:r>
    </w:p>
    <w:p>
      <w:r>
        <w:rPr>
          <w:rFonts w:ascii="Calibri" w:hAnsi="Calibri"/>
          <w:color w:val="0B2545"/>
          <w:sz w:val="22"/>
        </w:rPr>
        <w:t>Daphnia Browser integrates seven Daphnia genome annotations, all-genome gene search, exact identifier conversion, browser-local gene lists, published RNA-seq heatmaps, cached protein evidence, exploratory protein phylogeny, sequence export, primer screening, and CRISPR guide discovery.</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EAF5F3"/>
            <w:tcBorders>
              <w:left w:val="single" w:sz="18" w:color="1F6F74"/>
            </w:tcBorders>
          </w:tcPr>
          <w:p>
            <w:pPr>
              <w:spacing w:after="40"/>
            </w:pPr>
            <w:r>
              <w:rPr>
                <w:rFonts w:ascii="Calibri" w:hAnsi="Calibri"/>
                <w:b/>
                <w:color w:val="1F6F74"/>
                <w:sz w:val="22"/>
              </w:rPr>
              <w:t>Scientific use</w:t>
            </w:r>
          </w:p>
          <w:p>
            <w:pPr>
              <w:spacing w:after="0"/>
            </w:pPr>
            <w:r>
              <w:rPr>
                <w:rFonts w:ascii="Calibri" w:hAnsi="Calibri"/>
                <w:color w:val="0B2545"/>
                <w:sz w:val="21"/>
              </w:rPr>
              <w:t>The browser is an evidence-integration workspace. Similarity, domain signatures, predicted amplicons, and tree proximity are hypotheses or supporting evidence—not experimental confirmation, definitive gene naming, or proof of biological mechanism.</w:t>
            </w:r>
          </w:p>
        </w:tc>
      </w:tr>
    </w:tbl>
    <w:p>
      <w:pPr>
        <w:pStyle w:val="Heading2"/>
      </w:pPr>
      <w:r>
        <w:t>Before you begin</w:t>
      </w:r>
    </w:p>
    <w:p>
      <w:pPr>
        <w:numPr>
          <w:ilvl w:val="0"/>
          <w:numId w:val="71"/>
        </w:numPr>
      </w:pPr>
      <w:r>
        <w:rPr>
          <w:rFonts w:ascii="Calibri" w:hAnsi="Calibri"/>
          <w:color w:val="0B2545"/>
          <w:sz w:val="22"/>
        </w:rPr>
        <w:t>Use a modern Chromium, Edge, Firefox, or Safari browser. The Jetstream2 pilot requires an account.</w:t>
      </w:r>
    </w:p>
    <w:p>
      <w:pPr>
        <w:numPr>
          <w:ilvl w:val="0"/>
          <w:numId w:val="71"/>
        </w:numPr>
      </w:pPr>
      <w:r>
        <w:rPr>
          <w:rFonts w:ascii="Calibri" w:hAnsi="Calibri"/>
          <w:color w:val="0B2545"/>
          <w:sz w:val="22"/>
        </w:rPr>
        <w:t>Registration requests only an ID and password plus the laboratory registration code. Do not place the shared registration code in publications or screenshots.</w:t>
      </w:r>
    </w:p>
    <w:p>
      <w:pPr>
        <w:numPr>
          <w:ilvl w:val="0"/>
          <w:numId w:val="71"/>
        </w:numPr>
      </w:pPr>
      <w:r>
        <w:rPr>
          <w:rFonts w:ascii="Calibri" w:hAnsi="Calibri"/>
          <w:color w:val="0B2545"/>
          <w:sz w:val="22"/>
        </w:rPr>
        <w:t>Analysis jobs can take seconds to minutes. Keep the page open until the status changes from running to complete.</w:t>
      </w:r>
    </w:p>
    <w:p>
      <w:pPr>
        <w:pStyle w:val="Heading2"/>
      </w:pPr>
      <w:r>
        <w:t>Workspace map</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8EEF5"/>
            <w:vAlign w:val="center"/>
            <w:tcMar>
              <w:top w:w="80" w:type="dxa"/>
              <w:bottom w:w="80" w:type="dxa"/>
              <w:start w:w="120" w:type="dxa"/>
              <w:end w:w="120" w:type="dxa"/>
            </w:tcMar>
          </w:tcPr>
          <w:p>
            <w:r>
              <w:rPr>
                <w:rFonts w:ascii="Calibri" w:hAnsi="Calibri"/>
                <w:b/>
                <w:color w:val="1F4D78"/>
                <w:sz w:val="20"/>
              </w:rPr>
              <w:t>Species / assembly</w:t>
            </w:r>
          </w:p>
        </w:tc>
        <w:tc>
          <w:tcPr>
            <w:tcW w:type="dxa" w:w="6660"/>
            <w:vAlign w:val="center"/>
            <w:tcMar>
              <w:top w:w="80" w:type="dxa"/>
              <w:bottom w:w="80" w:type="dxa"/>
              <w:start w:w="120" w:type="dxa"/>
              <w:end w:w="120" w:type="dxa"/>
            </w:tcMar>
          </w:tcPr>
          <w:p>
            <w:r>
              <w:rPr>
                <w:rFonts w:ascii="Calibri" w:hAnsi="Calibri"/>
                <w:color w:val="0B2545"/>
                <w:sz w:val="20"/>
              </w:rPr>
              <w:t>Choose among seven Daphnia genome annotations, grouped by species.</w:t>
            </w:r>
          </w:p>
        </w:tc>
      </w:tr>
      <w:tr>
        <w:tc>
          <w:tcPr>
            <w:tcW w:type="dxa" w:w="2700"/>
            <w:shd w:fill="E8EEF5"/>
            <w:vAlign w:val="center"/>
            <w:tcMar>
              <w:top w:w="80" w:type="dxa"/>
              <w:bottom w:w="80" w:type="dxa"/>
              <w:start w:w="120" w:type="dxa"/>
              <w:end w:w="120" w:type="dxa"/>
            </w:tcMar>
          </w:tcPr>
          <w:p>
            <w:r>
              <w:rPr>
                <w:rFonts w:ascii="Calibri" w:hAnsi="Calibri"/>
                <w:b/>
                <w:color w:val="1F4D78"/>
                <w:sz w:val="20"/>
              </w:rPr>
              <w:t>Search</w:t>
            </w:r>
          </w:p>
        </w:tc>
        <w:tc>
          <w:tcPr>
            <w:tcW w:type="dxa" w:w="6660"/>
            <w:vAlign w:val="center"/>
            <w:tcMar>
              <w:top w:w="80" w:type="dxa"/>
              <w:bottom w:w="80" w:type="dxa"/>
              <w:start w:w="120" w:type="dxa"/>
              <w:end w:w="120" w:type="dxa"/>
            </w:tcMar>
          </w:tcPr>
          <w:p>
            <w:r>
              <w:rPr>
                <w:rFonts w:ascii="Calibri" w:hAnsi="Calibri"/>
                <w:color w:val="0B2545"/>
                <w:sz w:val="20"/>
              </w:rPr>
              <w:t>Search all seven annotations at once or only the active assembly. Accepts gene names, GeneIDs, locus tags, legacy Dmagna IDs, transcript/protein IDs, aliases, and product keywords.</w:t>
            </w:r>
          </w:p>
        </w:tc>
      </w:tr>
      <w:tr>
        <w:tc>
          <w:tcPr>
            <w:tcW w:type="dxa" w:w="2700"/>
            <w:shd w:fill="E8EEF5"/>
            <w:vAlign w:val="center"/>
            <w:tcMar>
              <w:top w:w="80" w:type="dxa"/>
              <w:bottom w:w="80" w:type="dxa"/>
              <w:start w:w="120" w:type="dxa"/>
              <w:end w:w="120" w:type="dxa"/>
            </w:tcMar>
          </w:tcPr>
          <w:p>
            <w:r>
              <w:rPr>
                <w:rFonts w:ascii="Calibri" w:hAnsi="Calibri"/>
                <w:b/>
                <w:color w:val="1F4D78"/>
                <w:sz w:val="20"/>
              </w:rPr>
              <w:t>Low-load Workbench</w:t>
            </w:r>
          </w:p>
        </w:tc>
        <w:tc>
          <w:tcPr>
            <w:tcW w:type="dxa" w:w="6660"/>
            <w:vAlign w:val="center"/>
            <w:tcMar>
              <w:top w:w="80" w:type="dxa"/>
              <w:bottom w:w="80" w:type="dxa"/>
              <w:start w:w="120" w:type="dxa"/>
              <w:end w:w="120" w:type="dxa"/>
            </w:tcMar>
          </w:tcPr>
          <w:p>
            <w:r>
              <w:rPr>
                <w:rFonts w:ascii="Calibri" w:hAnsi="Calibri"/>
                <w:color w:val="0B2545"/>
                <w:sz w:val="20"/>
              </w:rPr>
              <w:t>Exact ID conversion, My Gene List, multi-gene expression heatmaps, printable reports, and a precomputed domain browser.</w:t>
            </w:r>
          </w:p>
        </w:tc>
      </w:tr>
      <w:tr>
        <w:tc>
          <w:tcPr>
            <w:tcW w:type="dxa" w:w="2700"/>
            <w:shd w:fill="E8EEF5"/>
            <w:vAlign w:val="center"/>
            <w:tcMar>
              <w:top w:w="80" w:type="dxa"/>
              <w:bottom w:w="80" w:type="dxa"/>
              <w:start w:w="120" w:type="dxa"/>
              <w:end w:w="120" w:type="dxa"/>
            </w:tcMar>
          </w:tcPr>
          <w:p>
            <w:r>
              <w:rPr>
                <w:rFonts w:ascii="Calibri" w:hAnsi="Calibri"/>
                <w:b/>
                <w:color w:val="1F4D78"/>
                <w:sz w:val="20"/>
              </w:rPr>
              <w:t>Overview</w:t>
            </w:r>
          </w:p>
        </w:tc>
        <w:tc>
          <w:tcPr>
            <w:tcW w:type="dxa" w:w="6660"/>
            <w:vAlign w:val="center"/>
            <w:tcMar>
              <w:top w:w="80" w:type="dxa"/>
              <w:bottom w:w="80" w:type="dxa"/>
              <w:start w:w="120" w:type="dxa"/>
              <w:end w:w="120" w:type="dxa"/>
            </w:tcMar>
          </w:tcPr>
          <w:p>
            <w:r>
              <w:rPr>
                <w:rFonts w:ascii="Calibri" w:hAnsi="Calibri"/>
                <w:color w:val="0B2545"/>
                <w:sz w:val="20"/>
              </w:rPr>
              <w:t>Coordinates, exon/CDS/UTR structure, identifiers, isoforms, and source annotation.</w:t>
            </w:r>
          </w:p>
        </w:tc>
      </w:tr>
      <w:tr>
        <w:tc>
          <w:tcPr>
            <w:tcW w:type="dxa" w:w="2700"/>
            <w:shd w:fill="E8EEF5"/>
            <w:vAlign w:val="center"/>
            <w:tcMar>
              <w:top w:w="80" w:type="dxa"/>
              <w:bottom w:w="80" w:type="dxa"/>
              <w:start w:w="120" w:type="dxa"/>
              <w:end w:w="120" w:type="dxa"/>
            </w:tcMar>
          </w:tcPr>
          <w:p>
            <w:r>
              <w:rPr>
                <w:rFonts w:ascii="Calibri" w:hAnsi="Calibri"/>
                <w:b/>
                <w:color w:val="1F4D78"/>
                <w:sz w:val="20"/>
              </w:rPr>
              <w:t>Expression</w:t>
            </w:r>
          </w:p>
        </w:tc>
        <w:tc>
          <w:tcPr>
            <w:tcW w:type="dxa" w:w="6660"/>
            <w:vAlign w:val="center"/>
            <w:tcMar>
              <w:top w:w="80" w:type="dxa"/>
              <w:bottom w:w="80" w:type="dxa"/>
              <w:start w:w="120" w:type="dxa"/>
              <w:end w:w="120" w:type="dxa"/>
            </w:tcMar>
          </w:tcPr>
          <w:p>
            <w:r>
              <w:rPr>
                <w:rFonts w:ascii="Calibri" w:hAnsi="Calibri"/>
                <w:color w:val="0B2545"/>
                <w:sz w:val="20"/>
              </w:rPr>
              <w:t>Bulk anatomical-compartment atlas, embryo expression, DESeq2 statistics, and batch Excel export.</w:t>
            </w:r>
          </w:p>
        </w:tc>
      </w:tr>
      <w:tr>
        <w:tc>
          <w:tcPr>
            <w:tcW w:type="dxa" w:w="2700"/>
            <w:shd w:fill="E8EEF5"/>
            <w:vAlign w:val="center"/>
            <w:tcMar>
              <w:top w:w="80" w:type="dxa"/>
              <w:bottom w:w="80" w:type="dxa"/>
              <w:start w:w="120" w:type="dxa"/>
              <w:end w:w="120" w:type="dxa"/>
            </w:tcMar>
          </w:tcPr>
          <w:p>
            <w:r>
              <w:rPr>
                <w:rFonts w:ascii="Calibri" w:hAnsi="Calibri"/>
                <w:b/>
                <w:color w:val="1F4D78"/>
                <w:sz w:val="20"/>
              </w:rPr>
              <w:t>Protein evidence</w:t>
            </w:r>
          </w:p>
        </w:tc>
        <w:tc>
          <w:tcPr>
            <w:tcW w:type="dxa" w:w="6660"/>
            <w:vAlign w:val="center"/>
            <w:tcMar>
              <w:top w:w="80" w:type="dxa"/>
              <w:bottom w:w="80" w:type="dxa"/>
              <w:start w:w="120" w:type="dxa"/>
              <w:end w:w="120" w:type="dxa"/>
            </w:tcMar>
          </w:tcPr>
          <w:p>
            <w:r>
              <w:rPr>
                <w:rFonts w:ascii="Calibri" w:hAnsi="Calibri"/>
                <w:color w:val="0B2545"/>
                <w:sz w:val="20"/>
              </w:rPr>
              <w:t>Reviewed-homolog annotation candidates and their similarity evidence.</w:t>
            </w:r>
          </w:p>
        </w:tc>
      </w:tr>
      <w:tr>
        <w:tc>
          <w:tcPr>
            <w:tcW w:type="dxa" w:w="2700"/>
            <w:shd w:fill="E8EEF5"/>
            <w:vAlign w:val="center"/>
            <w:tcMar>
              <w:top w:w="80" w:type="dxa"/>
              <w:bottom w:w="80" w:type="dxa"/>
              <w:start w:w="120" w:type="dxa"/>
              <w:end w:w="120" w:type="dxa"/>
            </w:tcMar>
          </w:tcPr>
          <w:p>
            <w:r>
              <w:rPr>
                <w:rFonts w:ascii="Calibri" w:hAnsi="Calibri"/>
                <w:b/>
                <w:color w:val="1F4D78"/>
                <w:sz w:val="20"/>
              </w:rPr>
              <w:t>Exploratory tree</w:t>
            </w:r>
          </w:p>
        </w:tc>
        <w:tc>
          <w:tcPr>
            <w:tcW w:type="dxa" w:w="6660"/>
            <w:vAlign w:val="center"/>
            <w:tcMar>
              <w:top w:w="80" w:type="dxa"/>
              <w:bottom w:w="80" w:type="dxa"/>
              <w:start w:w="120" w:type="dxa"/>
              <w:end w:w="120" w:type="dxa"/>
            </w:tcMar>
          </w:tcPr>
          <w:p>
            <w:r>
              <w:rPr>
                <w:rFonts w:ascii="Calibri" w:hAnsi="Calibri"/>
                <w:color w:val="0B2545"/>
                <w:sz w:val="20"/>
              </w:rPr>
              <w:t>Choose an across-animal reference tree or a fixed top-25 DIAMOND-hit tree for any of the seven Daphnia genomes; neither mode is an orthology test.</w:t>
            </w:r>
          </w:p>
        </w:tc>
      </w:tr>
      <w:tr>
        <w:tc>
          <w:tcPr>
            <w:tcW w:type="dxa" w:w="2700"/>
            <w:shd w:fill="E8EEF5"/>
            <w:vAlign w:val="center"/>
            <w:tcMar>
              <w:top w:w="80" w:type="dxa"/>
              <w:bottom w:w="80" w:type="dxa"/>
              <w:start w:w="120" w:type="dxa"/>
              <w:end w:w="120" w:type="dxa"/>
            </w:tcMar>
          </w:tcPr>
          <w:p>
            <w:r>
              <w:rPr>
                <w:rFonts w:ascii="Calibri" w:hAnsi="Calibri"/>
                <w:b/>
                <w:color w:val="1F4D78"/>
                <w:sz w:val="20"/>
              </w:rPr>
              <w:t>Domains &amp; cross-assembly</w:t>
            </w:r>
          </w:p>
        </w:tc>
        <w:tc>
          <w:tcPr>
            <w:tcW w:type="dxa" w:w="6660"/>
            <w:vAlign w:val="center"/>
            <w:tcMar>
              <w:top w:w="80" w:type="dxa"/>
              <w:bottom w:w="80" w:type="dxa"/>
              <w:start w:w="120" w:type="dxa"/>
              <w:end w:w="120" w:type="dxa"/>
            </w:tcMar>
          </w:tcPr>
          <w:p>
            <w:r>
              <w:rPr>
                <w:rFonts w:ascii="Calibri" w:hAnsi="Calibri"/>
                <w:color w:val="0B2545"/>
                <w:sz w:val="20"/>
              </w:rPr>
              <w:t>InterProScan protein features, same-species correspondence, and optional multi-species orthology evidence.</w:t>
            </w:r>
          </w:p>
        </w:tc>
      </w:tr>
      <w:tr>
        <w:tc>
          <w:tcPr>
            <w:tcW w:type="dxa" w:w="2700"/>
            <w:shd w:fill="E8EEF5"/>
            <w:vAlign w:val="center"/>
            <w:tcMar>
              <w:top w:w="80" w:type="dxa"/>
              <w:bottom w:w="80" w:type="dxa"/>
              <w:start w:w="120" w:type="dxa"/>
              <w:end w:w="120" w:type="dxa"/>
            </w:tcMar>
          </w:tcPr>
          <w:p>
            <w:r>
              <w:rPr>
                <w:rFonts w:ascii="Calibri" w:hAnsi="Calibri"/>
                <w:b/>
                <w:color w:val="1F4D78"/>
                <w:sz w:val="20"/>
              </w:rPr>
              <w:t>Sequence tools</w:t>
            </w:r>
          </w:p>
        </w:tc>
        <w:tc>
          <w:tcPr>
            <w:tcW w:type="dxa" w:w="6660"/>
            <w:vAlign w:val="center"/>
            <w:tcMar>
              <w:top w:w="80" w:type="dxa"/>
              <w:bottom w:w="80" w:type="dxa"/>
              <w:start w:w="120" w:type="dxa"/>
              <w:end w:w="120" w:type="dxa"/>
            </w:tcMar>
          </w:tcPr>
          <w:p>
            <w:r>
              <w:rPr>
                <w:rFonts w:ascii="Calibri" w:hAnsi="Calibri"/>
                <w:color w:val="0B2545"/>
                <w:sz w:val="20"/>
              </w:rPr>
              <w:t>FASTA/GenBank/protein export, NCBI BLAST handoff, primer screening, and guide design.</w:t>
            </w:r>
          </w:p>
        </w:tc>
      </w:tr>
    </w:tbl>
    <w:p>
      <w:pPr>
        <w:pStyle w:val="Heading1"/>
      </w:pPr>
      <w:r>
        <w:t>2. Quick start: search photo-lyase</w:t>
      </w:r>
    </w:p>
    <w:p>
      <w:pPr>
        <w:numPr>
          <w:ilvl w:val="0"/>
          <w:numId w:val="72"/>
        </w:numPr>
      </w:pPr>
      <w:r>
        <w:rPr>
          <w:rFonts w:ascii="Calibri" w:hAnsi="Calibri"/>
          <w:color w:val="0B2545"/>
          <w:sz w:val="22"/>
        </w:rPr>
        <w:t>Keep Search scope set to All genomes. The Dataset menu remains the assembly that will open when you select a result.</w:t>
      </w:r>
    </w:p>
    <w:p>
      <w:pPr>
        <w:numPr>
          <w:ilvl w:val="0"/>
          <w:numId w:val="72"/>
        </w:numPr>
      </w:pPr>
      <w:r>
        <w:rPr>
          <w:rFonts w:ascii="Calibri" w:hAnsi="Calibri"/>
          <w:color w:val="0B2545"/>
          <w:sz w:val="22"/>
        </w:rPr>
        <w:t>Type photo-lyase exactly in the search box and select Search.</w:t>
      </w:r>
    </w:p>
    <w:p>
      <w:pPr>
        <w:numPr>
          <w:ilvl w:val="0"/>
          <w:numId w:val="72"/>
        </w:numPr>
      </w:pPr>
      <w:r>
        <w:rPr>
          <w:rFonts w:ascii="Calibri" w:hAnsi="Calibri"/>
          <w:color w:val="0B2545"/>
          <w:sz w:val="22"/>
        </w:rPr>
        <w:t>Review the genome-grouped candidates. Select LOC116919804 in the Daphnia magna (NIES) group to open the detailed photo-lyase example.</w:t>
      </w:r>
    </w:p>
    <w:p>
      <w:pPr>
        <w:keepNext/>
        <w:jc w:val="center"/>
      </w:pPr>
      <w:r>
        <w:drawing>
          <wp:inline xmlns:a="http://schemas.openxmlformats.org/drawingml/2006/main" xmlns:pic="http://schemas.openxmlformats.org/drawingml/2006/picture">
            <wp:extent cx="5897880" cy="3319597"/>
            <wp:docPr id="1" name="Picture 1" descr="Figure 1. All-genome annotation search for photo-lyase, with candidates grouped by genome and match class." title="Figure 1"/>
            <wp:cNvGraphicFramePr>
              <a:graphicFrameLocks noChangeAspect="1"/>
            </wp:cNvGraphicFramePr>
            <a:graphic>
              <a:graphicData uri="http://schemas.openxmlformats.org/drawingml/2006/picture">
                <pic:pic>
                  <pic:nvPicPr>
                    <pic:cNvPr id="0" name="01_photo_lyase_search_overview.png"/>
                    <pic:cNvPicPr/>
                  </pic:nvPicPr>
                  <pic:blipFill>
                    <a:blip r:embed="rId12"/>
                    <a:stretch>
                      <a:fillRect/>
                    </a:stretch>
                  </pic:blipFill>
                  <pic:spPr>
                    <a:xfrm>
                      <a:off x="0" y="0"/>
                      <a:ext cx="5897880" cy="3319597"/>
                    </a:xfrm>
                    <a:prstGeom prst="rect"/>
                  </pic:spPr>
                </pic:pic>
              </a:graphicData>
            </a:graphic>
          </wp:inline>
        </w:drawing>
      </w:r>
    </w:p>
    <w:p>
      <w:pPr>
        <w:spacing w:before="40" w:after="160"/>
        <w:jc w:val="center"/>
      </w:pPr>
      <w:r>
        <w:rPr>
          <w:rFonts w:ascii="Calibri" w:hAnsi="Calibri"/>
          <w:i/>
          <w:color w:val="60747B"/>
          <w:sz w:val="18"/>
        </w:rPr>
        <w:t>Figure 1. All-genome annotation search for photo-lyase, with candidates grouped by genome and match class.</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How to read the grouped results</w:t>
            </w:r>
          </w:p>
          <w:p>
            <w:pPr>
              <w:spacing w:after="0"/>
            </w:pPr>
            <w:r>
              <w:rPr>
                <w:rFonts w:ascii="Calibri" w:hAnsi="Calibri"/>
                <w:color w:val="0B2545"/>
                <w:sz w:val="21"/>
              </w:rPr>
              <w:t>Exact identifier is the strongest lookup class. Name or alias text and annotation/product text are lexical annotation matches. Results across genomes are not inferred homologs or orthologs, and a genome with no text match may still contain a homolog under another annotation label.</w:t>
            </w:r>
          </w:p>
        </w:tc>
      </w:tr>
    </w:tbl>
    <w:p>
      <w:r>
        <w:rPr>
          <w:rFonts w:ascii="Calibri" w:hAnsi="Calibri"/>
          <w:color w:val="0B2545"/>
          <w:sz w:val="22"/>
        </w:rPr>
        <w:t>Choose Current genome when you want the earlier assembly-specific workflow. In that mode, the first matching gene opens automatically and all subsequent sequence, primer, and CRISPR operations remain tied to the selected assembly.</w:t>
      </w:r>
    </w:p>
    <w:p>
      <w:pPr>
        <w:pStyle w:val="Heading2"/>
      </w:pPr>
      <w:r>
        <w:t>What the result means</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8EEF5"/>
            <w:vAlign w:val="center"/>
            <w:tcMar>
              <w:top w:w="80" w:type="dxa"/>
              <w:bottom w:w="80" w:type="dxa"/>
              <w:start w:w="120" w:type="dxa"/>
              <w:end w:w="120" w:type="dxa"/>
            </w:tcMar>
          </w:tcPr>
          <w:p>
            <w:r>
              <w:rPr>
                <w:rFonts w:ascii="Calibri" w:hAnsi="Calibri"/>
                <w:b/>
                <w:color w:val="1F4D78"/>
                <w:sz w:val="20"/>
              </w:rPr>
              <w:t>Genomic location</w:t>
            </w:r>
          </w:p>
        </w:tc>
        <w:tc>
          <w:tcPr>
            <w:tcW w:type="dxa" w:w="6660"/>
            <w:vAlign w:val="center"/>
            <w:tcMar>
              <w:top w:w="80" w:type="dxa"/>
              <w:bottom w:w="80" w:type="dxa"/>
              <w:start w:w="120" w:type="dxa"/>
              <w:end w:w="120" w:type="dxa"/>
            </w:tcMar>
          </w:tcPr>
          <w:p>
            <w:r>
              <w:rPr>
                <w:rFonts w:ascii="Calibri" w:hAnsi="Calibri"/>
                <w:color w:val="0B2545"/>
                <w:sz w:val="20"/>
              </w:rPr>
              <w:t>NC_059184.1:4,220,531–4,223,356 on the plus strand</w:t>
            </w:r>
          </w:p>
        </w:tc>
      </w:tr>
      <w:tr>
        <w:tc>
          <w:tcPr>
            <w:tcW w:type="dxa" w:w="2700"/>
            <w:shd w:fill="E8EEF5"/>
            <w:vAlign w:val="center"/>
            <w:tcMar>
              <w:top w:w="80" w:type="dxa"/>
              <w:bottom w:w="80" w:type="dxa"/>
              <w:start w:w="120" w:type="dxa"/>
              <w:end w:w="120" w:type="dxa"/>
            </w:tcMar>
          </w:tcPr>
          <w:p>
            <w:r>
              <w:rPr>
                <w:rFonts w:ascii="Calibri" w:hAnsi="Calibri"/>
                <w:b/>
                <w:color w:val="1F4D78"/>
                <w:sz w:val="20"/>
              </w:rPr>
              <w:t>Gene length</w:t>
            </w:r>
          </w:p>
        </w:tc>
        <w:tc>
          <w:tcPr>
            <w:tcW w:type="dxa" w:w="6660"/>
            <w:vAlign w:val="center"/>
            <w:tcMar>
              <w:top w:w="80" w:type="dxa"/>
              <w:bottom w:w="80" w:type="dxa"/>
              <w:start w:w="120" w:type="dxa"/>
              <w:end w:w="120" w:type="dxa"/>
            </w:tcMar>
          </w:tcPr>
          <w:p>
            <w:r>
              <w:rPr>
                <w:rFonts w:ascii="Calibri" w:hAnsi="Calibri"/>
                <w:color w:val="0B2545"/>
                <w:sz w:val="20"/>
              </w:rPr>
              <w:t>2,826 bp</w:t>
            </w:r>
          </w:p>
        </w:tc>
      </w:tr>
      <w:tr>
        <w:tc>
          <w:tcPr>
            <w:tcW w:type="dxa" w:w="2700"/>
            <w:shd w:fill="E8EEF5"/>
            <w:vAlign w:val="center"/>
            <w:tcMar>
              <w:top w:w="80" w:type="dxa"/>
              <w:bottom w:w="80" w:type="dxa"/>
              <w:start w:w="120" w:type="dxa"/>
              <w:end w:w="120" w:type="dxa"/>
            </w:tcMar>
          </w:tcPr>
          <w:p>
            <w:r>
              <w:rPr>
                <w:rFonts w:ascii="Calibri" w:hAnsi="Calibri"/>
                <w:b/>
                <w:color w:val="1F4D78"/>
                <w:sz w:val="20"/>
              </w:rPr>
              <w:t>Isoforms</w:t>
            </w:r>
          </w:p>
        </w:tc>
        <w:tc>
          <w:tcPr>
            <w:tcW w:type="dxa" w:w="6660"/>
            <w:vAlign w:val="center"/>
            <w:tcMar>
              <w:top w:w="80" w:type="dxa"/>
              <w:bottom w:w="80" w:type="dxa"/>
              <w:start w:w="120" w:type="dxa"/>
              <w:end w:w="120" w:type="dxa"/>
            </w:tcMar>
          </w:tcPr>
          <w:p>
            <w:r>
              <w:rPr>
                <w:rFonts w:ascii="Calibri" w:hAnsi="Calibri"/>
                <w:color w:val="0B2545"/>
                <w:sz w:val="20"/>
              </w:rPr>
              <w:t>3 transcripts and 3 proteins</w:t>
            </w:r>
          </w:p>
        </w:tc>
      </w:tr>
      <w:tr>
        <w:tc>
          <w:tcPr>
            <w:tcW w:type="dxa" w:w="2700"/>
            <w:shd w:fill="E8EEF5"/>
            <w:vAlign w:val="center"/>
            <w:tcMar>
              <w:top w:w="80" w:type="dxa"/>
              <w:bottom w:w="80" w:type="dxa"/>
              <w:start w:w="120" w:type="dxa"/>
              <w:end w:w="120" w:type="dxa"/>
            </w:tcMar>
          </w:tcPr>
          <w:p>
            <w:r>
              <w:rPr>
                <w:rFonts w:ascii="Calibri" w:hAnsi="Calibri"/>
                <w:b/>
                <w:color w:val="1F4D78"/>
                <w:sz w:val="20"/>
              </w:rPr>
              <w:t>Products</w:t>
            </w:r>
          </w:p>
        </w:tc>
        <w:tc>
          <w:tcPr>
            <w:tcW w:type="dxa" w:w="6660"/>
            <w:vAlign w:val="center"/>
            <w:tcMar>
              <w:top w:w="80" w:type="dxa"/>
              <w:bottom w:w="80" w:type="dxa"/>
              <w:start w:w="120" w:type="dxa"/>
              <w:end w:w="120" w:type="dxa"/>
            </w:tcMar>
          </w:tcPr>
          <w:p>
            <w:r>
              <w:rPr>
                <w:rFonts w:ascii="Calibri" w:hAnsi="Calibri"/>
                <w:color w:val="0B2545"/>
                <w:sz w:val="20"/>
              </w:rPr>
              <w:t>Deoxyribodipyrimidine photo-lyase isoforms X1/X2/X3</w:t>
            </w:r>
          </w:p>
        </w:tc>
      </w:tr>
      <w:tr>
        <w:tc>
          <w:tcPr>
            <w:tcW w:type="dxa" w:w="2700"/>
            <w:shd w:fill="E8EEF5"/>
            <w:vAlign w:val="center"/>
            <w:tcMar>
              <w:top w:w="80" w:type="dxa"/>
              <w:bottom w:w="80" w:type="dxa"/>
              <w:start w:w="120" w:type="dxa"/>
              <w:end w:w="120" w:type="dxa"/>
            </w:tcMar>
          </w:tcPr>
          <w:p>
            <w:r>
              <w:rPr>
                <w:rFonts w:ascii="Calibri" w:hAnsi="Calibri"/>
                <w:b/>
                <w:color w:val="1F4D78"/>
                <w:sz w:val="20"/>
              </w:rPr>
              <w:t>Annotation note</w:t>
            </w:r>
          </w:p>
        </w:tc>
        <w:tc>
          <w:tcPr>
            <w:tcW w:type="dxa" w:w="6660"/>
            <w:vAlign w:val="center"/>
            <w:tcMar>
              <w:top w:w="80" w:type="dxa"/>
              <w:bottom w:w="80" w:type="dxa"/>
              <w:start w:w="120" w:type="dxa"/>
              <w:end w:w="120" w:type="dxa"/>
            </w:tcMar>
          </w:tcPr>
          <w:p>
            <w:r>
              <w:rPr>
                <w:rFonts w:ascii="Calibri" w:hAnsi="Calibri"/>
                <w:color w:val="0B2545"/>
                <w:sz w:val="20"/>
              </w:rPr>
              <w:t>The RefSeq model was derived by automated computational analysis using Gnomon.</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If the search returns nothing</w:t>
            </w:r>
          </w:p>
          <w:p>
            <w:pPr>
              <w:spacing w:after="0"/>
            </w:pPr>
            <w:r>
              <w:rPr>
                <w:rFonts w:ascii="Calibri" w:hAnsi="Calibri"/>
                <w:color w:val="0B2545"/>
                <w:sz w:val="21"/>
              </w:rPr>
              <w:t>Check the selected species/assembly and the exact spelling. Identifiers and product text differ among annotations. Try a stable identifier native to the selected assembly.</w:t>
            </w:r>
          </w:p>
        </w:tc>
      </w:tr>
    </w:tbl>
    <w:p>
      <w:pPr>
        <w:pStyle w:val="Heading2"/>
      </w:pPr>
      <w:r>
        <w:t>Available genome assemblies</w:t>
      </w:r>
    </w:p>
    <w:p>
      <w:r>
        <w:rPr>
          <w:rFonts w:ascii="Calibri" w:hAnsi="Calibri"/>
          <w:color w:val="0B2545"/>
          <w:sz w:val="22"/>
        </w:rPr>
        <w:t>The local Version 1.4 candidate contains seven independently indexed genome annotations. Genome search, sequence export, local primer specificity, CRISPR screening, and within-genome phylogeny use the assembly explicitly selected for each operation.</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8EEF5"/>
            <w:vAlign w:val="center"/>
            <w:tcMar>
              <w:top w:w="80" w:type="dxa"/>
              <w:bottom w:w="80" w:type="dxa"/>
              <w:start w:w="120" w:type="dxa"/>
              <w:end w:w="120" w:type="dxa"/>
            </w:tcMar>
          </w:tcPr>
          <w:p>
            <w:r>
              <w:rPr>
                <w:rFonts w:ascii="Calibri" w:hAnsi="Calibri"/>
                <w:b/>
                <w:color w:val="1F4D78"/>
                <w:sz w:val="20"/>
              </w:rPr>
              <w:t>Daphnia magna (NIES)</w:t>
            </w:r>
          </w:p>
        </w:tc>
        <w:tc>
          <w:tcPr>
            <w:tcW w:type="dxa" w:w="6660"/>
            <w:vAlign w:val="center"/>
            <w:tcMar>
              <w:top w:w="80" w:type="dxa"/>
              <w:bottom w:w="80" w:type="dxa"/>
              <w:start w:w="120" w:type="dxa"/>
              <w:end w:w="120" w:type="dxa"/>
            </w:tcMar>
          </w:tcPr>
          <w:p>
            <w:r>
              <w:rPr>
                <w:rFonts w:ascii="Calibri" w:hAnsi="Calibri"/>
                <w:color w:val="0B2545"/>
                <w:sz w:val="20"/>
              </w:rPr>
              <w:t>GCF_020631705.1 · NCBI Daphnia magna Annotation Release 101</w:t>
            </w:r>
          </w:p>
        </w:tc>
      </w:tr>
      <w:tr>
        <w:tc>
          <w:tcPr>
            <w:tcW w:type="dxa" w:w="2700"/>
            <w:shd w:fill="E8EEF5"/>
            <w:vAlign w:val="center"/>
            <w:tcMar>
              <w:top w:w="80" w:type="dxa"/>
              <w:bottom w:w="80" w:type="dxa"/>
              <w:start w:w="120" w:type="dxa"/>
              <w:end w:w="120" w:type="dxa"/>
            </w:tcMar>
          </w:tcPr>
          <w:p>
            <w:r>
              <w:rPr>
                <w:rFonts w:ascii="Calibri" w:hAnsi="Calibri"/>
                <w:b/>
                <w:color w:val="1F4D78"/>
                <w:sz w:val="20"/>
              </w:rPr>
              <w:t>Daphnia magna (LRV0_1)</w:t>
            </w:r>
          </w:p>
        </w:tc>
        <w:tc>
          <w:tcPr>
            <w:tcW w:type="dxa" w:w="6660"/>
            <w:vAlign w:val="center"/>
            <w:tcMar>
              <w:top w:w="80" w:type="dxa"/>
              <w:bottom w:w="80" w:type="dxa"/>
              <w:start w:w="120" w:type="dxa"/>
              <w:end w:w="120" w:type="dxa"/>
            </w:tcMar>
          </w:tcPr>
          <w:p>
            <w:r>
              <w:rPr>
                <w:rFonts w:ascii="Calibri" w:hAnsi="Calibri"/>
                <w:color w:val="0B2545"/>
                <w:sz w:val="20"/>
              </w:rPr>
              <w:t>GCA_030254905.1 · GenBank plus legacy Dmagna-ID crosswalk</w:t>
            </w:r>
          </w:p>
        </w:tc>
      </w:tr>
      <w:tr>
        <w:tc>
          <w:tcPr>
            <w:tcW w:type="dxa" w:w="2700"/>
            <w:shd w:fill="E8EEF5"/>
            <w:vAlign w:val="center"/>
            <w:tcMar>
              <w:top w:w="80" w:type="dxa"/>
              <w:bottom w:w="80" w:type="dxa"/>
              <w:start w:w="120" w:type="dxa"/>
              <w:end w:w="120" w:type="dxa"/>
            </w:tcMar>
          </w:tcPr>
          <w:p>
            <w:r>
              <w:rPr>
                <w:rFonts w:ascii="Calibri" w:hAnsi="Calibri"/>
                <w:b/>
                <w:color w:val="1F4D78"/>
                <w:sz w:val="20"/>
              </w:rPr>
              <w:t>Daphnia magna (Xinb3; APZ42 IDs)</w:t>
            </w:r>
          </w:p>
        </w:tc>
        <w:tc>
          <w:tcPr>
            <w:tcW w:type="dxa" w:w="6660"/>
            <w:vAlign w:val="center"/>
            <w:tcMar>
              <w:top w:w="80" w:type="dxa"/>
              <w:bottom w:w="80" w:type="dxa"/>
              <w:start w:w="120" w:type="dxa"/>
              <w:end w:w="120" w:type="dxa"/>
            </w:tcMar>
          </w:tcPr>
          <w:p>
            <w:r>
              <w:rPr>
                <w:rFonts w:ascii="Calibri" w:hAnsi="Calibri"/>
                <w:color w:val="0B2545"/>
                <w:sz w:val="20"/>
              </w:rPr>
              <w:t>GCA_001632505.1 · daphmag2.4; APZ42 is the locus-tag prefix</w:t>
            </w:r>
          </w:p>
        </w:tc>
      </w:tr>
      <w:tr>
        <w:tc>
          <w:tcPr>
            <w:tcW w:type="dxa" w:w="2700"/>
            <w:shd w:fill="E8EEF5"/>
            <w:vAlign w:val="center"/>
            <w:tcMar>
              <w:top w:w="80" w:type="dxa"/>
              <w:bottom w:w="80" w:type="dxa"/>
              <w:start w:w="120" w:type="dxa"/>
              <w:end w:w="120" w:type="dxa"/>
            </w:tcMar>
          </w:tcPr>
          <w:p>
            <w:r>
              <w:rPr>
                <w:rFonts w:ascii="Calibri" w:hAnsi="Calibri"/>
                <w:b/>
                <w:color w:val="1F4D78"/>
                <w:sz w:val="20"/>
              </w:rPr>
              <w:t>Daphnia carinata (CSIRO-1)</w:t>
            </w:r>
          </w:p>
        </w:tc>
        <w:tc>
          <w:tcPr>
            <w:tcW w:type="dxa" w:w="6660"/>
            <w:vAlign w:val="center"/>
            <w:tcMar>
              <w:top w:w="80" w:type="dxa"/>
              <w:bottom w:w="80" w:type="dxa"/>
              <w:start w:w="120" w:type="dxa"/>
              <w:end w:w="120" w:type="dxa"/>
            </w:tcMar>
          </w:tcPr>
          <w:p>
            <w:r>
              <w:rPr>
                <w:rFonts w:ascii="Calibri" w:hAnsi="Calibri"/>
                <w:color w:val="0B2545"/>
                <w:sz w:val="20"/>
              </w:rPr>
              <w:t>GCF_022539665.2 · GCF_022539665.2-RS_2023_09</w:t>
            </w:r>
          </w:p>
        </w:tc>
      </w:tr>
      <w:tr>
        <w:tc>
          <w:tcPr>
            <w:tcW w:type="dxa" w:w="2700"/>
            <w:shd w:fill="E8EEF5"/>
            <w:vAlign w:val="center"/>
            <w:tcMar>
              <w:top w:w="80" w:type="dxa"/>
              <w:bottom w:w="80" w:type="dxa"/>
              <w:start w:w="120" w:type="dxa"/>
              <w:end w:w="120" w:type="dxa"/>
            </w:tcMar>
          </w:tcPr>
          <w:p>
            <w:r>
              <w:rPr>
                <w:rFonts w:ascii="Calibri" w:hAnsi="Calibri"/>
                <w:b/>
                <w:color w:val="1F4D78"/>
                <w:sz w:val="20"/>
              </w:rPr>
              <w:t>Daphnia sinensis (WSL)</w:t>
            </w:r>
          </w:p>
        </w:tc>
        <w:tc>
          <w:tcPr>
            <w:tcW w:type="dxa" w:w="6660"/>
            <w:vAlign w:val="center"/>
            <w:tcMar>
              <w:top w:w="80" w:type="dxa"/>
              <w:bottom w:w="80" w:type="dxa"/>
              <w:start w:w="120" w:type="dxa"/>
              <w:end w:w="120" w:type="dxa"/>
            </w:tcMar>
          </w:tcPr>
          <w:p>
            <w:r>
              <w:rPr>
                <w:rFonts w:ascii="Calibri" w:hAnsi="Calibri"/>
                <w:color w:val="0B2545"/>
                <w:sz w:val="20"/>
              </w:rPr>
              <w:t>GCA_013167095.2 · submitter annotation</w:t>
            </w:r>
          </w:p>
        </w:tc>
      </w:tr>
      <w:tr>
        <w:tc>
          <w:tcPr>
            <w:tcW w:type="dxa" w:w="2700"/>
            <w:shd w:fill="E8EEF5"/>
            <w:vAlign w:val="center"/>
            <w:tcMar>
              <w:top w:w="80" w:type="dxa"/>
              <w:bottom w:w="80" w:type="dxa"/>
              <w:start w:w="120" w:type="dxa"/>
              <w:end w:w="120" w:type="dxa"/>
            </w:tcMar>
          </w:tcPr>
          <w:p>
            <w:r>
              <w:rPr>
                <w:rFonts w:ascii="Calibri" w:hAnsi="Calibri"/>
                <w:b/>
                <w:color w:val="1F4D78"/>
                <w:sz w:val="20"/>
              </w:rPr>
              <w:t>Daphnia pulicaria (SC F1-1A)</w:t>
            </w:r>
          </w:p>
        </w:tc>
        <w:tc>
          <w:tcPr>
            <w:tcW w:type="dxa" w:w="6660"/>
            <w:vAlign w:val="center"/>
            <w:tcMar>
              <w:top w:w="80" w:type="dxa"/>
              <w:bottom w:w="80" w:type="dxa"/>
              <w:start w:w="120" w:type="dxa"/>
              <w:end w:w="120" w:type="dxa"/>
            </w:tcMar>
          </w:tcPr>
          <w:p>
            <w:r>
              <w:rPr>
                <w:rFonts w:ascii="Calibri" w:hAnsi="Calibri"/>
                <w:color w:val="0B2545"/>
                <w:sz w:val="20"/>
              </w:rPr>
              <w:t>GCF_021234035.1 · NCBI Annotation Release 100</w:t>
            </w:r>
          </w:p>
        </w:tc>
      </w:tr>
      <w:tr>
        <w:tc>
          <w:tcPr>
            <w:tcW w:type="dxa" w:w="2700"/>
            <w:shd w:fill="E8EEF5"/>
            <w:vAlign w:val="center"/>
            <w:tcMar>
              <w:top w:w="80" w:type="dxa"/>
              <w:bottom w:w="80" w:type="dxa"/>
              <w:start w:w="120" w:type="dxa"/>
              <w:end w:w="120" w:type="dxa"/>
            </w:tcMar>
          </w:tcPr>
          <w:p>
            <w:r>
              <w:rPr>
                <w:rFonts w:ascii="Calibri" w:hAnsi="Calibri"/>
                <w:b/>
                <w:color w:val="1F4D78"/>
                <w:sz w:val="20"/>
              </w:rPr>
              <w:t>Daphnia pulex (KAP4)</w:t>
            </w:r>
          </w:p>
        </w:tc>
        <w:tc>
          <w:tcPr>
            <w:tcW w:type="dxa" w:w="6660"/>
            <w:vAlign w:val="center"/>
            <w:tcMar>
              <w:top w:w="80" w:type="dxa"/>
              <w:bottom w:w="80" w:type="dxa"/>
              <w:start w:w="120" w:type="dxa"/>
              <w:end w:w="120" w:type="dxa"/>
            </w:tcMar>
          </w:tcPr>
          <w:p>
            <w:r>
              <w:rPr>
                <w:rFonts w:ascii="Calibri" w:hAnsi="Calibri"/>
                <w:color w:val="0B2545"/>
                <w:sz w:val="20"/>
              </w:rPr>
              <w:t>GCF_021134715.1 · NCBI Annotation Release 100</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Expression-data boundary</w:t>
            </w:r>
          </w:p>
          <w:p>
            <w:pPr>
              <w:spacing w:after="0"/>
            </w:pPr>
            <w:r>
              <w:rPr>
                <w:rFonts w:ascii="Calibri" w:hAnsi="Calibri"/>
                <w:color w:val="0B2545"/>
                <w:sz w:val="21"/>
              </w:rPr>
              <w:t>GSE264123 and GSE150820 are D. magna studies. The browser does not project their expression values onto D. carinata, D. sinensis, D. pulicaria, or D. pulex genes. A missing expression panel is not evidence of zero expression.</w:t>
            </w:r>
          </w:p>
        </w:tc>
      </w:tr>
    </w:tbl>
    <w:p>
      <w:pPr>
        <w:pStyle w:val="Heading2"/>
      </w:pPr>
      <w:r>
        <w:t>Low-load Research Workbench</w:t>
      </w:r>
    </w:p>
    <w:p>
      <w:pPr>
        <w:keepNext/>
        <w:jc w:val="center"/>
      </w:pPr>
      <w:r>
        <w:drawing>
          <wp:inline xmlns:a="http://schemas.openxmlformats.org/drawingml/2006/main" xmlns:pic="http://schemas.openxmlformats.org/drawingml/2006/picture">
            <wp:extent cx="5897880" cy="3687570"/>
            <wp:docPr id="2" name="Picture 2" descr="Low-load Workbench with exact ID conversion and browser-local gene-list tools." title="Low-load Workbench with exact ID conversion and browser-local gene-list tools"/>
            <wp:cNvGraphicFramePr>
              <a:graphicFrameLocks noChangeAspect="1"/>
            </wp:cNvGraphicFramePr>
            <a:graphic>
              <a:graphicData uri="http://schemas.openxmlformats.org/drawingml/2006/picture">
                <pic:pic>
                  <pic:nvPicPr>
                    <pic:cNvPr id="0" name="10_low_load_workbench.png"/>
                    <pic:cNvPicPr/>
                  </pic:nvPicPr>
                  <pic:blipFill>
                    <a:blip r:embed="rId13"/>
                    <a:stretch>
                      <a:fillRect/>
                    </a:stretch>
                  </pic:blipFill>
                  <pic:spPr>
                    <a:xfrm>
                      <a:off x="0" y="0"/>
                      <a:ext cx="5897880" cy="3687570"/>
                    </a:xfrm>
                    <a:prstGeom prst="rect"/>
                  </pic:spPr>
                </pic:pic>
              </a:graphicData>
            </a:graphic>
          </wp:inline>
        </w:drawing>
      </w:r>
    </w:p>
    <w:p>
      <w:pPr>
        <w:spacing w:before="40" w:after="160"/>
        <w:jc w:val="center"/>
      </w:pPr>
      <w:r>
        <w:rPr>
          <w:rFonts w:ascii="Calibri" w:hAnsi="Calibri"/>
          <w:i/>
          <w:color w:val="60747B"/>
          <w:sz w:val="18"/>
        </w:rPr>
        <w:t>Low-load Workbench with exact ID conversion and browser-local gene-list tools.</w:t>
      </w:r>
    </w:p>
    <w:p>
      <w:r>
        <w:rPr>
          <w:rFonts w:ascii="Calibri" w:hAnsi="Calibri"/>
          <w:color w:val="0B2545"/>
          <w:sz w:val="22"/>
        </w:rPr>
        <w:t>Expand the workbench below the search header for batch-oriented tools. These functions use exact indexes, bundled expression databases, verified cached signatures, or browser-local storage; opening them does not start a heavy analysis job.</w:t>
      </w:r>
    </w:p>
    <w:p>
      <w:pPr>
        <w:numPr>
          <w:ilvl w:val="0"/>
          <w:numId w:val="71"/>
        </w:numPr>
      </w:pPr>
      <w:r>
        <w:rPr>
          <w:rFonts w:ascii="Calibri" w:hAnsi="Calibri"/>
          <w:color w:val="0B2545"/>
          <w:sz w:val="22"/>
        </w:rPr>
        <w:t>ID Converter accepts up to 500 exact stable identifiers. One-to-many matches remain ambiguous; product keywords and partial strings are never promoted to an ID mapping.</w:t>
      </w:r>
    </w:p>
    <w:p>
      <w:pPr>
        <w:numPr>
          <w:ilvl w:val="0"/>
          <w:numId w:val="71"/>
        </w:numPr>
      </w:pPr>
      <w:r>
        <w:rPr>
          <w:rFonts w:ascii="Calibri" w:hAnsi="Calibri"/>
          <w:color w:val="0B2545"/>
          <w:sz w:val="22"/>
        </w:rPr>
        <w:t>My Gene List is stored only in the current browser and remains after sign-out. Export CSV or clear it on a shared computer.</w:t>
      </w:r>
    </w:p>
    <w:p>
      <w:pPr>
        <w:numPr>
          <w:ilvl w:val="0"/>
          <w:numId w:val="71"/>
        </w:numPr>
      </w:pPr>
      <w:r>
        <w:rPr>
          <w:rFonts w:ascii="Calibri" w:hAnsi="Calibri"/>
          <w:color w:val="0B2545"/>
          <w:sz w:val="22"/>
        </w:rPr>
        <w:t>Expression Heatmap keeps GSE264123 RPKM and GSE150820 TPM in separate views. Gray NA means no mapped record, not zero expression; only an explicit zero in the published matrix is treated as zero. Row z-scores show within-gene pattern only.</w:t>
      </w:r>
    </w:p>
    <w:p>
      <w:pPr>
        <w:numPr>
          <w:ilvl w:val="0"/>
          <w:numId w:val="71"/>
        </w:numPr>
      </w:pPr>
      <w:r>
        <w:rPr>
          <w:rFonts w:ascii="Calibri" w:hAnsi="Calibri"/>
          <w:color w:val="0B2545"/>
          <w:sz w:val="22"/>
        </w:rPr>
        <w:t>The Domain and Family Browser covers verified precomputed InterProScan proteins only. Details retain protein length, sequence-MD5 verification, member database, signature/IPR accession, coordinates, and score when available. Missing means not precomputed, not absence of a domain.</w:t>
      </w:r>
    </w:p>
    <w:p>
      <w:pPr>
        <w:numPr>
          <w:ilvl w:val="0"/>
          <w:numId w:val="71"/>
        </w:numPr>
      </w:pPr>
      <w:r>
        <w:rPr>
          <w:rFonts w:ascii="Calibri" w:hAnsi="Calibri"/>
          <w:color w:val="0B2545"/>
          <w:sz w:val="22"/>
        </w:rPr>
        <w:t>Gene evidence reports are printable snapshots of evidence already loaded in the current browser session. Reports include assembly, annotation, selected protein, method/dataset citation keys, and a session-status caveat; creating one starts no DIAMOND, InterProScan, phylogeny, AlphaFold, OrthoFinder, or external API request.</w:t>
      </w:r>
    </w:p>
    <w:p>
      <w:pPr>
        <w:pStyle w:val="Heading1"/>
      </w:pPr>
      <w:r>
        <w:t>3. Read the Gene Overview</w:t>
      </w:r>
    </w:p>
    <w:p>
      <w:r>
        <w:rPr>
          <w:rFonts w:ascii="Calibri" w:hAnsi="Calibri"/>
          <w:color w:val="0B2545"/>
          <w:sz w:val="22"/>
        </w:rPr>
        <w:t>The Gene Annotation Map summarizes exon, CDS, UTR, and intron coordinates in gene direction. Use it to verify which isoform and genomic interval you are exporting or targeting.</w:t>
      </w:r>
    </w:p>
    <w:p>
      <w:pPr>
        <w:pStyle w:val="Heading2"/>
      </w:pPr>
      <w:r>
        <w:t>Recommended checks</w:t>
      </w:r>
    </w:p>
    <w:p>
      <w:pPr>
        <w:numPr>
          <w:ilvl w:val="0"/>
          <w:numId w:val="71"/>
        </w:numPr>
      </w:pPr>
      <w:r>
        <w:rPr>
          <w:rFonts w:ascii="Calibri" w:hAnsi="Calibri"/>
          <w:color w:val="0B2545"/>
          <w:sz w:val="22"/>
        </w:rPr>
        <w:t>Confirm chromosome/scaffold, strand, and coordinate interval before designing primers or guides.</w:t>
      </w:r>
    </w:p>
    <w:p>
      <w:pPr>
        <w:numPr>
          <w:ilvl w:val="0"/>
          <w:numId w:val="71"/>
        </w:numPr>
      </w:pPr>
      <w:r>
        <w:rPr>
          <w:rFonts w:ascii="Calibri" w:hAnsi="Calibri"/>
          <w:color w:val="0B2545"/>
          <w:sz w:val="22"/>
        </w:rPr>
        <w:t>Compare transcript isoforms. LOC116919804 has proteins XP_032781741.2 (523 aa), XP_032781742.2 (452 aa), and XP_045027373.1 (481 aa).</w:t>
      </w:r>
    </w:p>
    <w:p>
      <w:pPr>
        <w:numPr>
          <w:ilvl w:val="0"/>
          <w:numId w:val="71"/>
        </w:numPr>
      </w:pPr>
      <w:r>
        <w:rPr>
          <w:rFonts w:ascii="Calibri" w:hAnsi="Calibri"/>
          <w:color w:val="0B2545"/>
          <w:sz w:val="22"/>
        </w:rPr>
        <w:t>Open NCBI Gene when you need the external RefSeq record, current annotation history, or cross-links.</w:t>
      </w:r>
    </w:p>
    <w:p>
      <w:pPr>
        <w:numPr>
          <w:ilvl w:val="0"/>
          <w:numId w:val="71"/>
        </w:numPr>
      </w:pPr>
      <w:r>
        <w:rPr>
          <w:rFonts w:ascii="Calibri" w:hAnsi="Calibri"/>
          <w:color w:val="0B2545"/>
          <w:sz w:val="22"/>
        </w:rPr>
        <w:t>Choose a comparison assembly and use Find similar gene candidates. The browser aligns every annotated protein isoform to the selected target proteome with DIAMOND, collapses protein hits to genes, and shows up to five ranked candidates with identity, bilateral coverage, E value, bit score, and reciprocal-best-hit evidence.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Similarity is not orthology</w:t>
            </w:r>
          </w:p>
          <w:p>
            <w:pPr>
              <w:spacing w:after="0"/>
            </w:pPr>
            <w:r>
              <w:rPr>
                <w:rFonts w:ascii="Calibri" w:hAnsi="Calibri"/>
                <w:color w:val="0B2545"/>
                <w:sz w:val="21"/>
              </w:rPr>
              <w:t>The top candidate can be a paralog, partial or split gene model, fusion/fission product, or domain-only match. Reciprocal best hit strengthens sequence correspondence but does not prove duplication-aware orthology, conserved function, synteny, or gene-name equivalence. Review the ranked candidates before opening one.</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EAF5F3"/>
            <w:tcBorders>
              <w:left w:val="single" w:sz="18" w:color="1F6F74"/>
            </w:tcBorders>
          </w:tcPr>
          <w:p>
            <w:pPr>
              <w:spacing w:after="40"/>
            </w:pPr>
            <w:r>
              <w:rPr>
                <w:rFonts w:ascii="Calibri" w:hAnsi="Calibri"/>
                <w:b/>
                <w:color w:val="1F6F74"/>
                <w:sz w:val="22"/>
              </w:rPr>
              <w:t>Coordinate rule</w:t>
            </w:r>
          </w:p>
          <w:p>
            <w:pPr>
              <w:spacing w:after="0"/>
            </w:pPr>
            <w:r>
              <w:rPr>
                <w:rFonts w:ascii="Calibri" w:hAnsi="Calibri"/>
                <w:color w:val="0B2545"/>
                <w:sz w:val="21"/>
              </w:rPr>
              <w:t>Published-reference coordinates remain the primary coordinate system. Never attach an unchanged GFF directly to an indel-adjusted consensus FASTA without coordinate liftover.</w:t>
            </w:r>
          </w:p>
        </w:tc>
      </w:tr>
    </w:tbl>
    <w:p>
      <w:pPr>
        <w:pStyle w:val="Heading2"/>
      </w:pPr>
      <w:r>
        <w:t>Identifier guide</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8EEF5"/>
            <w:vAlign w:val="center"/>
            <w:tcMar>
              <w:top w:w="80" w:type="dxa"/>
              <w:bottom w:w="80" w:type="dxa"/>
              <w:start w:w="120" w:type="dxa"/>
              <w:end w:w="120" w:type="dxa"/>
            </w:tcMar>
          </w:tcPr>
          <w:p>
            <w:r>
              <w:rPr>
                <w:rFonts w:ascii="Calibri" w:hAnsi="Calibri"/>
                <w:b/>
                <w:color w:val="1F4D78"/>
                <w:sz w:val="20"/>
              </w:rPr>
              <w:t>LOC116919804</w:t>
            </w:r>
          </w:p>
        </w:tc>
        <w:tc>
          <w:tcPr>
            <w:tcW w:type="dxa" w:w="6660"/>
            <w:vAlign w:val="center"/>
            <w:tcMar>
              <w:top w:w="80" w:type="dxa"/>
              <w:bottom w:w="80" w:type="dxa"/>
              <w:start w:w="120" w:type="dxa"/>
              <w:end w:w="120" w:type="dxa"/>
            </w:tcMar>
          </w:tcPr>
          <w:p>
            <w:r>
              <w:rPr>
                <w:rFonts w:ascii="Calibri" w:hAnsi="Calibri"/>
                <w:color w:val="0B2545"/>
                <w:sz w:val="20"/>
              </w:rPr>
              <w:t>RefSeq-style gene symbol/identifier used by this gene model.</w:t>
            </w:r>
          </w:p>
        </w:tc>
      </w:tr>
      <w:tr>
        <w:tc>
          <w:tcPr>
            <w:tcW w:type="dxa" w:w="2700"/>
            <w:shd w:fill="E8EEF5"/>
            <w:vAlign w:val="center"/>
            <w:tcMar>
              <w:top w:w="80" w:type="dxa"/>
              <w:bottom w:w="80" w:type="dxa"/>
              <w:start w:w="120" w:type="dxa"/>
              <w:end w:w="120" w:type="dxa"/>
            </w:tcMar>
          </w:tcPr>
          <w:p>
            <w:r>
              <w:rPr>
                <w:rFonts w:ascii="Calibri" w:hAnsi="Calibri"/>
                <w:b/>
                <w:color w:val="1F4D78"/>
                <w:sz w:val="20"/>
              </w:rPr>
              <w:t>116919804</w:t>
            </w:r>
          </w:p>
        </w:tc>
        <w:tc>
          <w:tcPr>
            <w:tcW w:type="dxa" w:w="6660"/>
            <w:vAlign w:val="center"/>
            <w:tcMar>
              <w:top w:w="80" w:type="dxa"/>
              <w:bottom w:w="80" w:type="dxa"/>
              <w:start w:w="120" w:type="dxa"/>
              <w:end w:w="120" w:type="dxa"/>
            </w:tcMar>
          </w:tcPr>
          <w:p>
            <w:r>
              <w:rPr>
                <w:rFonts w:ascii="Calibri" w:hAnsi="Calibri"/>
                <w:color w:val="0B2545"/>
                <w:sz w:val="20"/>
              </w:rPr>
              <w:t>NCBI GeneID.</w:t>
            </w:r>
          </w:p>
        </w:tc>
      </w:tr>
      <w:tr>
        <w:tc>
          <w:tcPr>
            <w:tcW w:type="dxa" w:w="2700"/>
            <w:shd w:fill="E8EEF5"/>
            <w:vAlign w:val="center"/>
            <w:tcMar>
              <w:top w:w="80" w:type="dxa"/>
              <w:bottom w:w="80" w:type="dxa"/>
              <w:start w:w="120" w:type="dxa"/>
              <w:end w:w="120" w:type="dxa"/>
            </w:tcMar>
          </w:tcPr>
          <w:p>
            <w:r>
              <w:rPr>
                <w:rFonts w:ascii="Calibri" w:hAnsi="Calibri"/>
                <w:b/>
                <w:color w:val="1F4D78"/>
                <w:sz w:val="20"/>
              </w:rPr>
              <w:t>XP_032781741.2</w:t>
            </w:r>
          </w:p>
        </w:tc>
        <w:tc>
          <w:tcPr>
            <w:tcW w:type="dxa" w:w="6660"/>
            <w:vAlign w:val="center"/>
            <w:tcMar>
              <w:top w:w="80" w:type="dxa"/>
              <w:bottom w:w="80" w:type="dxa"/>
              <w:start w:w="120" w:type="dxa"/>
              <w:end w:w="120" w:type="dxa"/>
            </w:tcMar>
          </w:tcPr>
          <w:p>
            <w:r>
              <w:rPr>
                <w:rFonts w:ascii="Calibri" w:hAnsi="Calibri"/>
                <w:color w:val="0B2545"/>
                <w:sz w:val="20"/>
              </w:rPr>
              <w:t>Representative RefSeq protein accession, isoform X1.</w:t>
            </w:r>
          </w:p>
        </w:tc>
      </w:tr>
      <w:tr>
        <w:tc>
          <w:tcPr>
            <w:tcW w:type="dxa" w:w="2700"/>
            <w:shd w:fill="E8EEF5"/>
            <w:vAlign w:val="center"/>
            <w:tcMar>
              <w:top w:w="80" w:type="dxa"/>
              <w:bottom w:w="80" w:type="dxa"/>
              <w:start w:w="120" w:type="dxa"/>
              <w:end w:w="120" w:type="dxa"/>
            </w:tcMar>
          </w:tcPr>
          <w:p>
            <w:r>
              <w:rPr>
                <w:rFonts w:ascii="Calibri" w:hAnsi="Calibri"/>
                <w:b/>
                <w:color w:val="1F4D78"/>
                <w:sz w:val="20"/>
              </w:rPr>
              <w:t>Dmagna…</w:t>
            </w:r>
          </w:p>
        </w:tc>
        <w:tc>
          <w:tcPr>
            <w:tcW w:type="dxa" w:w="6660"/>
            <w:vAlign w:val="center"/>
            <w:tcMar>
              <w:top w:w="80" w:type="dxa"/>
              <w:bottom w:w="80" w:type="dxa"/>
              <w:start w:w="120" w:type="dxa"/>
              <w:end w:w="120" w:type="dxa"/>
            </w:tcMar>
          </w:tcPr>
          <w:p>
            <w:r>
              <w:rPr>
                <w:rFonts w:ascii="Calibri" w:hAnsi="Calibri"/>
                <w:color w:val="0B2545"/>
                <w:sz w:val="20"/>
              </w:rPr>
              <w:t>Legacy LRV0_1 annotation identifier; availability depends on the old-annotation crosswalk.</w:t>
            </w:r>
          </w:p>
        </w:tc>
      </w:tr>
      <w:tr>
        <w:tc>
          <w:tcPr>
            <w:tcW w:type="dxa" w:w="2700"/>
            <w:shd w:fill="E8EEF5"/>
            <w:vAlign w:val="center"/>
            <w:tcMar>
              <w:top w:w="80" w:type="dxa"/>
              <w:bottom w:w="80" w:type="dxa"/>
              <w:start w:w="120" w:type="dxa"/>
              <w:end w:w="120" w:type="dxa"/>
            </w:tcMar>
          </w:tcPr>
          <w:p>
            <w:r>
              <w:rPr>
                <w:rFonts w:ascii="Calibri" w:hAnsi="Calibri"/>
                <w:b/>
                <w:color w:val="1F4D78"/>
                <w:sz w:val="20"/>
              </w:rPr>
              <w:t>Dapma7bEVm…</w:t>
            </w:r>
          </w:p>
        </w:tc>
        <w:tc>
          <w:tcPr>
            <w:tcW w:type="dxa" w:w="6660"/>
            <w:vAlign w:val="center"/>
            <w:tcMar>
              <w:top w:w="80" w:type="dxa"/>
              <w:bottom w:w="80" w:type="dxa"/>
              <w:start w:w="120" w:type="dxa"/>
              <w:end w:w="120" w:type="dxa"/>
            </w:tcMar>
          </w:tcPr>
          <w:p>
            <w:r>
              <w:rPr>
                <w:rFonts w:ascii="Calibri" w:hAnsi="Calibri"/>
                <w:color w:val="0B2545"/>
                <w:sz w:val="20"/>
              </w:rPr>
              <w:t>A maker/EVidenceModeler-style internal annotation ID from another annotation set.</w:t>
            </w:r>
          </w:p>
        </w:tc>
      </w:tr>
    </w:tbl>
    <w:p>
      <w:pPr>
        <w:pStyle w:val="Heading1"/>
      </w:pPr>
      <w:r>
        <w:t>4. Inspect published RNA-seq evidence</w:t>
      </w:r>
    </w:p>
    <w:p>
      <w:pPr>
        <w:keepNext/>
        <w:jc w:val="center"/>
      </w:pPr>
      <w:r>
        <w:drawing>
          <wp:inline xmlns:a="http://schemas.openxmlformats.org/drawingml/2006/main" xmlns:pic="http://schemas.openxmlformats.org/drawingml/2006/picture">
            <wp:extent cx="5897880" cy="3687570"/>
            <wp:docPr id="3" name="Picture 3" descr="Figure 2. Tissue Expression Atlas for the photo-lyase example." title="Figure 2"/>
            <wp:cNvGraphicFramePr>
              <a:graphicFrameLocks noChangeAspect="1"/>
            </wp:cNvGraphicFramePr>
            <a:graphic>
              <a:graphicData uri="http://schemas.openxmlformats.org/drawingml/2006/picture">
                <pic:pic>
                  <pic:nvPicPr>
                    <pic:cNvPr id="0" name="02_photo_lyase_rnaseq_atlas.png"/>
                    <pic:cNvPicPr/>
                  </pic:nvPicPr>
                  <pic:blipFill>
                    <a:blip r:embed="rId14"/>
                    <a:stretch>
                      <a:fillRect/>
                    </a:stretch>
                  </pic:blipFill>
                  <pic:spPr>
                    <a:xfrm>
                      <a:off x="0" y="0"/>
                      <a:ext cx="5897880" cy="3687570"/>
                    </a:xfrm>
                    <a:prstGeom prst="rect"/>
                  </pic:spPr>
                </pic:pic>
              </a:graphicData>
            </a:graphic>
          </wp:inline>
        </w:drawing>
      </w:r>
    </w:p>
    <w:p>
      <w:pPr>
        <w:spacing w:before="40" w:after="160"/>
        <w:jc w:val="center"/>
      </w:pPr>
      <w:r>
        <w:rPr>
          <w:rFonts w:ascii="Calibri" w:hAnsi="Calibri"/>
          <w:i/>
          <w:color w:val="60747B"/>
          <w:sz w:val="18"/>
        </w:rPr>
        <w:t>Figure 2. Tissue Expression Atlas for the photo-lyase example.</w:t>
      </w:r>
    </w:p>
    <w:p>
      <w:pPr>
        <w:pStyle w:val="Heading2"/>
      </w:pPr>
      <w:r>
        <w:t>Anatomical atlas (GSE264123)</w:t>
      </w:r>
    </w:p>
    <w:p>
      <w:r>
        <w:rPr>
          <w:rFonts w:ascii="Calibri" w:hAnsi="Calibri"/>
          <w:color w:val="0B2545"/>
          <w:sz w:val="22"/>
        </w:rPr>
        <w:t>For LOC116919804, the mapped atlas transcript is maker-falcon_000009F-augustus-gene-17.130-mRNA-1. Protein-sequence mapping is 96.0% identity with 100% atlas and browser coverage. The displayed highest mean compartment is carapace (0.65 RPKM), and Tau is 0.63.</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Interpret with the read depth</w:t>
            </w:r>
          </w:p>
          <w:p>
            <w:pPr>
              <w:spacing w:after="0"/>
            </w:pPr>
            <w:r>
              <w:rPr>
                <w:rFonts w:ascii="Calibri" w:hAnsi="Calibri"/>
                <w:color w:val="0B2545"/>
                <w:sz w:val="21"/>
              </w:rPr>
              <w:t>The compartment means are very low for this example and individual replicates include zeros. The eFP color is a within-gene visualization of bulk dissected samples; it is not in situ localization, single-cell expression, compartment purity evidence, or a DEG test.</w:t>
            </w:r>
          </w:p>
        </w:tc>
      </w:tr>
    </w:tbl>
    <w:p>
      <w:pPr>
        <w:pStyle w:val="Heading2"/>
      </w:pPr>
      <w:r>
        <w:t>Embryo dataset (GSE150820)</w:t>
      </w:r>
    </w:p>
    <w:p>
      <w:r>
        <w:rPr>
          <w:rFonts w:ascii="Calibri" w:hAnsi="Calibri"/>
          <w:color w:val="0B2545"/>
          <w:sz w:val="22"/>
        </w:rPr>
        <w:t>The four descriptive group means are WT female 13.8 TPM, Line A male 12.8 TPM, Line B male 13.2 TPM, and WT male 13.9 TPM. In the default WT male versus WT female contrast, the shrunk log2 fold change is −0.008 and BH-adjusted P value is 0.9926; this example does not support differential expression in that contrast.</w:t>
      </w:r>
    </w:p>
    <w:p>
      <w:pPr>
        <w:numPr>
          <w:ilvl w:val="0"/>
          <w:numId w:val="71"/>
        </w:numPr>
      </w:pPr>
      <w:r>
        <w:rPr>
          <w:rFonts w:ascii="Calibri" w:hAnsi="Calibri"/>
          <w:color w:val="0B2545"/>
          <w:sz w:val="22"/>
        </w:rPr>
        <w:t>Bars are group means; dots are biological replicates.</w:t>
      </w:r>
    </w:p>
    <w:p>
      <w:pPr>
        <w:numPr>
          <w:ilvl w:val="0"/>
          <w:numId w:val="71"/>
        </w:numPr>
      </w:pPr>
      <w:r>
        <w:rPr>
          <w:rFonts w:ascii="Calibri" w:hAnsi="Calibri"/>
          <w:color w:val="0B2545"/>
          <w:sz w:val="22"/>
        </w:rPr>
        <w:t>TPM is descriptive. Use the DESeq2 panel and multiple-testing-adjusted P value for inferential reporting.</w:t>
      </w:r>
    </w:p>
    <w:p>
      <w:pPr>
        <w:numPr>
          <w:ilvl w:val="0"/>
          <w:numId w:val="71"/>
        </w:numPr>
      </w:pPr>
      <w:r>
        <w:rPr>
          <w:rFonts w:ascii="Calibri" w:hAnsi="Calibri"/>
          <w:color w:val="0B2545"/>
          <w:sz w:val="22"/>
        </w:rPr>
        <w:t>Line A/B combine genotype and sexual phenotype; those effects cannot be separated by this design.</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Zero versus missing</w:t>
            </w:r>
          </w:p>
          <w:p>
            <w:pPr>
              <w:spacing w:after="0"/>
            </w:pPr>
            <w:r>
              <w:rPr>
                <w:rFonts w:ascii="Calibri" w:hAnsi="Calibri"/>
                <w:color w:val="0B2545"/>
                <w:sz w:val="21"/>
              </w:rPr>
              <w:t>A displayed 0 TPM/RPKM is a value explicitly present in the published quantification matrix. A gene or sample absent from that matrix is shown as gray NA and must not be interpreted as no expression.</w:t>
            </w:r>
          </w:p>
        </w:tc>
      </w:tr>
    </w:tbl>
    <w:p>
      <w:pPr>
        <w:pStyle w:val="Heading2"/>
      </w:pPr>
      <w:r>
        <w:t>Batch Atlas Excel</w:t>
      </w:r>
    </w:p>
    <w:p>
      <w:r>
        <w:rPr>
          <w:rFonts w:ascii="Calibri" w:hAnsi="Calibri"/>
          <w:color w:val="0B2545"/>
          <w:sz w:val="22"/>
        </w:rPr>
        <w:t>Paste up to 500 identifiers and select Download Excel. The workbook contains sample-type means, replicate-level RPKM/read counts, mapping evidence, and provenance. Use one identifier per line when preparing a reproducible gene list.</w:t>
      </w:r>
    </w:p>
    <w:p>
      <w:pPr>
        <w:pStyle w:val="Heading1"/>
      </w:pPr>
      <w:r>
        <w:t>5. Evaluate reviewed-protein similarity</w:t>
      </w:r>
    </w:p>
    <w:p>
      <w:pPr>
        <w:keepNext/>
        <w:jc w:val="center"/>
      </w:pPr>
      <w:r>
        <w:drawing>
          <wp:inline xmlns:a="http://schemas.openxmlformats.org/drawingml/2006/main" xmlns:pic="http://schemas.openxmlformats.org/drawingml/2006/picture">
            <wp:extent cx="5897880" cy="3687570"/>
            <wp:docPr id="4" name="Picture 4" descr="Figure 3. Quick Protein Annotation for XP_032781741.2." title="Figure 3"/>
            <wp:cNvGraphicFramePr>
              <a:graphicFrameLocks noChangeAspect="1"/>
            </wp:cNvGraphicFramePr>
            <a:graphic>
              <a:graphicData uri="http://schemas.openxmlformats.org/drawingml/2006/picture">
                <pic:pic>
                  <pic:nvPicPr>
                    <pic:cNvPr id="0" name="03_photo_lyase_quick_annotation.png"/>
                    <pic:cNvPicPr/>
                  </pic:nvPicPr>
                  <pic:blipFill>
                    <a:blip r:embed="rId15"/>
                    <a:stretch>
                      <a:fillRect/>
                    </a:stretch>
                  </pic:blipFill>
                  <pic:spPr>
                    <a:xfrm>
                      <a:off x="0" y="0"/>
                      <a:ext cx="5897880" cy="3687570"/>
                    </a:xfrm>
                    <a:prstGeom prst="rect"/>
                  </pic:spPr>
                </pic:pic>
              </a:graphicData>
            </a:graphic>
          </wp:inline>
        </w:drawing>
      </w:r>
    </w:p>
    <w:p>
      <w:pPr>
        <w:spacing w:before="40" w:after="160"/>
        <w:jc w:val="center"/>
      </w:pPr>
      <w:r>
        <w:rPr>
          <w:rFonts w:ascii="Calibri" w:hAnsi="Calibri"/>
          <w:i/>
          <w:color w:val="60747B"/>
          <w:sz w:val="18"/>
        </w:rPr>
        <w:t>Figure 3. Quick Protein Annotation for XP_032781741.2.</w:t>
      </w:r>
    </w:p>
    <w:p>
      <w:r>
        <w:rPr>
          <w:rFonts w:ascii="Calibri" w:hAnsi="Calibri"/>
          <w:color w:val="0B2545"/>
          <w:sz w:val="22"/>
        </w:rPr>
        <w:t>Select View cached result first. If a sequence-matched cache exists, it is displayed immediately. If it does not, a separate Run one DIAMOND search button appears. The cached example supports deoxyribodipyrimidine photo-lyase as the top reviewed-homolog candidate, with PHR as a candidate gene symbol.</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8EEF5"/>
            <w:vAlign w:val="center"/>
            <w:tcMar>
              <w:top w:w="80" w:type="dxa"/>
              <w:bottom w:w="80" w:type="dxa"/>
              <w:start w:w="120" w:type="dxa"/>
              <w:end w:w="120" w:type="dxa"/>
            </w:tcMar>
          </w:tcPr>
          <w:p>
            <w:r>
              <w:rPr>
                <w:rFonts w:ascii="Calibri" w:hAnsi="Calibri"/>
                <w:b/>
                <w:color w:val="1F4D78"/>
                <w:sz w:val="20"/>
              </w:rPr>
              <w:t>Top hit</w:t>
            </w:r>
          </w:p>
        </w:tc>
        <w:tc>
          <w:tcPr>
            <w:tcW w:type="dxa" w:w="6660"/>
            <w:vAlign w:val="center"/>
            <w:tcMar>
              <w:top w:w="80" w:type="dxa"/>
              <w:bottom w:w="80" w:type="dxa"/>
              <w:start w:w="120" w:type="dxa"/>
              <w:end w:w="120" w:type="dxa"/>
            </w:tcMar>
          </w:tcPr>
          <w:p>
            <w:r>
              <w:rPr>
                <w:rFonts w:ascii="Calibri" w:hAnsi="Calibri"/>
                <w:color w:val="0B2545"/>
                <w:sz w:val="20"/>
              </w:rPr>
              <w:t>Q28811 · Potorous tridactylus · PHR</w:t>
            </w:r>
          </w:p>
        </w:tc>
      </w:tr>
      <w:tr>
        <w:tc>
          <w:tcPr>
            <w:tcW w:type="dxa" w:w="2700"/>
            <w:shd w:fill="E8EEF5"/>
            <w:vAlign w:val="center"/>
            <w:tcMar>
              <w:top w:w="80" w:type="dxa"/>
              <w:bottom w:w="80" w:type="dxa"/>
              <w:start w:w="120" w:type="dxa"/>
              <w:end w:w="120" w:type="dxa"/>
            </w:tcMar>
          </w:tcPr>
          <w:p>
            <w:r>
              <w:rPr>
                <w:rFonts w:ascii="Calibri" w:hAnsi="Calibri"/>
                <w:b/>
                <w:color w:val="1F4D78"/>
                <w:sz w:val="20"/>
              </w:rPr>
              <w:t>Identity</w:t>
            </w:r>
          </w:p>
        </w:tc>
        <w:tc>
          <w:tcPr>
            <w:tcW w:type="dxa" w:w="6660"/>
            <w:vAlign w:val="center"/>
            <w:tcMar>
              <w:top w:w="80" w:type="dxa"/>
              <w:bottom w:w="80" w:type="dxa"/>
              <w:start w:w="120" w:type="dxa"/>
              <w:end w:w="120" w:type="dxa"/>
            </w:tcMar>
          </w:tcPr>
          <w:p>
            <w:r>
              <w:rPr>
                <w:rFonts w:ascii="Calibri" w:hAnsi="Calibri"/>
                <w:color w:val="0B2545"/>
                <w:sz w:val="20"/>
              </w:rPr>
              <w:t>61.6%</w:t>
            </w:r>
          </w:p>
        </w:tc>
      </w:tr>
      <w:tr>
        <w:tc>
          <w:tcPr>
            <w:tcW w:type="dxa" w:w="2700"/>
            <w:shd w:fill="E8EEF5"/>
            <w:vAlign w:val="center"/>
            <w:tcMar>
              <w:top w:w="80" w:type="dxa"/>
              <w:bottom w:w="80" w:type="dxa"/>
              <w:start w:w="120" w:type="dxa"/>
              <w:end w:w="120" w:type="dxa"/>
            </w:tcMar>
          </w:tcPr>
          <w:p>
            <w:r>
              <w:rPr>
                <w:rFonts w:ascii="Calibri" w:hAnsi="Calibri"/>
                <w:b/>
                <w:color w:val="1F4D78"/>
                <w:sz w:val="20"/>
              </w:rPr>
              <w:t>Query coverage</w:t>
            </w:r>
          </w:p>
        </w:tc>
        <w:tc>
          <w:tcPr>
            <w:tcW w:type="dxa" w:w="6660"/>
            <w:vAlign w:val="center"/>
            <w:tcMar>
              <w:top w:w="80" w:type="dxa"/>
              <w:bottom w:w="80" w:type="dxa"/>
              <w:start w:w="120" w:type="dxa"/>
              <w:end w:w="120" w:type="dxa"/>
            </w:tcMar>
          </w:tcPr>
          <w:p>
            <w:r>
              <w:rPr>
                <w:rFonts w:ascii="Calibri" w:hAnsi="Calibri"/>
                <w:color w:val="0B2545"/>
                <w:sz w:val="20"/>
              </w:rPr>
              <w:t>90.1%</w:t>
            </w:r>
          </w:p>
        </w:tc>
      </w:tr>
      <w:tr>
        <w:tc>
          <w:tcPr>
            <w:tcW w:type="dxa" w:w="2700"/>
            <w:shd w:fill="E8EEF5"/>
            <w:vAlign w:val="center"/>
            <w:tcMar>
              <w:top w:w="80" w:type="dxa"/>
              <w:bottom w:w="80" w:type="dxa"/>
              <w:start w:w="120" w:type="dxa"/>
              <w:end w:w="120" w:type="dxa"/>
            </w:tcMar>
          </w:tcPr>
          <w:p>
            <w:r>
              <w:rPr>
                <w:rFonts w:ascii="Calibri" w:hAnsi="Calibri"/>
                <w:b/>
                <w:color w:val="1F4D78"/>
                <w:sz w:val="20"/>
              </w:rPr>
              <w:t>Subject coverage</w:t>
            </w:r>
          </w:p>
        </w:tc>
        <w:tc>
          <w:tcPr>
            <w:tcW w:type="dxa" w:w="6660"/>
            <w:vAlign w:val="center"/>
            <w:tcMar>
              <w:top w:w="80" w:type="dxa"/>
              <w:bottom w:w="80" w:type="dxa"/>
              <w:start w:w="120" w:type="dxa"/>
              <w:end w:w="120" w:type="dxa"/>
            </w:tcMar>
          </w:tcPr>
          <w:p>
            <w:r>
              <w:rPr>
                <w:rFonts w:ascii="Calibri" w:hAnsi="Calibri"/>
                <w:color w:val="0B2545"/>
                <w:sz w:val="20"/>
              </w:rPr>
              <w:t>88.5%</w:t>
            </w:r>
          </w:p>
        </w:tc>
      </w:tr>
      <w:tr>
        <w:tc>
          <w:tcPr>
            <w:tcW w:type="dxa" w:w="2700"/>
            <w:shd w:fill="E8EEF5"/>
            <w:vAlign w:val="center"/>
            <w:tcMar>
              <w:top w:w="80" w:type="dxa"/>
              <w:bottom w:w="80" w:type="dxa"/>
              <w:start w:w="120" w:type="dxa"/>
              <w:end w:w="120" w:type="dxa"/>
            </w:tcMar>
          </w:tcPr>
          <w:p>
            <w:r>
              <w:rPr>
                <w:rFonts w:ascii="Calibri" w:hAnsi="Calibri"/>
                <w:b/>
                <w:color w:val="1F4D78"/>
                <w:sz w:val="20"/>
              </w:rPr>
              <w:t>E value</w:t>
            </w:r>
          </w:p>
        </w:tc>
        <w:tc>
          <w:tcPr>
            <w:tcW w:type="dxa" w:w="6660"/>
            <w:vAlign w:val="center"/>
            <w:tcMar>
              <w:top w:w="80" w:type="dxa"/>
              <w:bottom w:w="80" w:type="dxa"/>
              <w:start w:w="120" w:type="dxa"/>
              <w:end w:w="120" w:type="dxa"/>
            </w:tcMar>
          </w:tcPr>
          <w:p>
            <w:r>
              <w:rPr>
                <w:rFonts w:ascii="Calibri" w:hAnsi="Calibri"/>
                <w:color w:val="0B2545"/>
                <w:sz w:val="20"/>
              </w:rPr>
              <w:t>3.49 × 10⁻²²⁰</w:t>
            </w:r>
          </w:p>
        </w:tc>
      </w:tr>
      <w:tr>
        <w:tc>
          <w:tcPr>
            <w:tcW w:type="dxa" w:w="2700"/>
            <w:shd w:fill="E8EEF5"/>
            <w:vAlign w:val="center"/>
            <w:tcMar>
              <w:top w:w="80" w:type="dxa"/>
              <w:bottom w:w="80" w:type="dxa"/>
              <w:start w:w="120" w:type="dxa"/>
              <w:end w:w="120" w:type="dxa"/>
            </w:tcMar>
          </w:tcPr>
          <w:p>
            <w:r>
              <w:rPr>
                <w:rFonts w:ascii="Calibri" w:hAnsi="Calibri"/>
                <w:b/>
                <w:color w:val="1F4D78"/>
                <w:sz w:val="20"/>
              </w:rPr>
              <w:t>Evidence tier</w:t>
            </w:r>
          </w:p>
        </w:tc>
        <w:tc>
          <w:tcPr>
            <w:tcW w:type="dxa" w:w="6660"/>
            <w:vAlign w:val="center"/>
            <w:tcMar>
              <w:top w:w="80" w:type="dxa"/>
              <w:bottom w:w="80" w:type="dxa"/>
              <w:start w:w="120" w:type="dxa"/>
              <w:end w:w="120" w:type="dxa"/>
            </w:tcMar>
          </w:tcPr>
          <w:p>
            <w:r>
              <w:rPr>
                <w:rFonts w:ascii="Calibri" w:hAnsi="Calibri"/>
                <w:color w:val="0B2545"/>
                <w:sz w:val="20"/>
              </w:rPr>
              <w:t>High sequence-similarity tier</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Do not overstate the result</w:t>
            </w:r>
          </w:p>
          <w:p>
            <w:pPr>
              <w:spacing w:after="0"/>
            </w:pPr>
            <w:r>
              <w:rPr>
                <w:rFonts w:ascii="Calibri" w:hAnsi="Calibri"/>
                <w:color w:val="0B2545"/>
                <w:sz w:val="21"/>
              </w:rPr>
              <w:t>A reviewed homolog supports an annotation candidate. It does not by itself assign the Daphnia gene symbol, demonstrate enzymatic activity, or establish orthology. Inspect coverage, domain architecture, multiple hits, and phylogenetic context.</w:t>
            </w:r>
          </w:p>
        </w:tc>
      </w:tr>
    </w:tbl>
    <w:p>
      <w:pPr>
        <w:pStyle w:val="Heading2"/>
      </w:pPr>
      <w:r>
        <w:t>Run only when needed</w:t>
      </w:r>
    </w:p>
    <w:p>
      <w:r>
        <w:rPr>
          <w:rFonts w:ascii="Calibri" w:hAnsi="Calibri"/>
          <w:color w:val="0B2545"/>
          <w:sz w:val="22"/>
        </w:rPr>
        <w:t>A gene or protein selection never starts DIAMOND automatically. Start one queued search only when no verified cached result is available or the sequence/database changed. The result is cached by protein sequence for later use.</w:t>
      </w:r>
    </w:p>
    <w:p>
      <w:pPr>
        <w:pStyle w:val="Heading1"/>
      </w:pPr>
      <w:r>
        <w:t>6. Build and read the protein phylogeny</w:t>
      </w:r>
    </w:p>
    <w:p>
      <w:pPr>
        <w:numPr>
          <w:ilvl w:val="0"/>
          <w:numId w:val="72"/>
        </w:numPr>
      </w:pPr>
      <w:r>
        <w:rPr>
          <w:rFonts w:ascii="Calibri" w:hAnsi="Calibri"/>
          <w:color w:val="0B2545"/>
          <w:sz w:val="22"/>
        </w:rPr>
        <w:t>Open Exploratory tree and choose Across animal reference proteomes or Within one selected Daphnia genome.</w:t>
      </w:r>
    </w:p>
    <w:p>
      <w:pPr>
        <w:numPr>
          <w:ilvl w:val="0"/>
          <w:numId w:val="72"/>
        </w:numPr>
      </w:pPr>
      <w:r>
        <w:rPr>
          <w:rFonts w:ascii="Calibri" w:hAnsi="Calibri"/>
          <w:color w:val="0B2545"/>
          <w:sz w:val="22"/>
        </w:rPr>
        <w:t>Choose any of the seven Daphnia species/assemblies as the target proteome. When it matches the query dataset, the result is a within-genome tree; otherwise, the source query is placed among the selected target proteome's top hits. The sample size is fixed at the 25 highest-bit-score gene-level hits.</w:t>
      </w:r>
    </w:p>
    <w:p>
      <w:pPr>
        <w:numPr>
          <w:ilvl w:val="0"/>
          <w:numId w:val="72"/>
        </w:numPr>
      </w:pPr>
      <w:r>
        <w:rPr>
          <w:rFonts w:ascii="Calibri" w:hAnsi="Calibri"/>
          <w:color w:val="0B2545"/>
          <w:sz w:val="22"/>
        </w:rPr>
        <w:t>Wait for DIAMOND ultra-sensitive top-hit ranking, one-best-isoform-per-target-gene collapsing, FAMSA alignment, removal of columns with more than 50% gaps, and FastTree WAG+Gamma inference. The query gene is excluded only when source and target are the same dataset. Version 2026.09.03.1 applies no biological similarity threshold to candidate inclusion and requires at least 50 retained alignment columns for a tree.</w:t>
      </w:r>
    </w:p>
    <w:p>
      <w:pPr>
        <w:numPr>
          <w:ilvl w:val="0"/>
          <w:numId w:val="72"/>
        </w:numPr>
      </w:pPr>
      <w:r>
        <w:rPr>
          <w:rFonts w:ascii="Calibri" w:hAnsi="Calibri"/>
          <w:color w:val="0B2545"/>
          <w:sz w:val="22"/>
        </w:rPr>
        <w:t>Switch between Rectangular and Circular layouts. The topology is the same; only the display changes.</w:t>
      </w:r>
    </w:p>
    <w:p>
      <w:pPr>
        <w:keepNext/>
        <w:jc w:val="center"/>
      </w:pPr>
      <w:r>
        <w:drawing>
          <wp:inline xmlns:a="http://schemas.openxmlformats.org/drawingml/2006/main" xmlns:pic="http://schemas.openxmlformats.org/drawingml/2006/picture">
            <wp:extent cx="5897880" cy="3687570"/>
            <wp:docPr id="5" name="Picture 5" descr="Figure 4. Rectangular-tree controls and query-placement summary." title="Figure 4"/>
            <wp:cNvGraphicFramePr>
              <a:graphicFrameLocks noChangeAspect="1"/>
            </wp:cNvGraphicFramePr>
            <a:graphic>
              <a:graphicData uri="http://schemas.openxmlformats.org/drawingml/2006/picture">
                <pic:pic>
                  <pic:nvPicPr>
                    <pic:cNvPr id="0" name="04_photo_lyase_phylogeny.png"/>
                    <pic:cNvPicPr/>
                  </pic:nvPicPr>
                  <pic:blipFill>
                    <a:blip r:embed="rId16"/>
                    <a:stretch>
                      <a:fillRect/>
                    </a:stretch>
                  </pic:blipFill>
                  <pic:spPr>
                    <a:xfrm>
                      <a:off x="0" y="0"/>
                      <a:ext cx="5897880" cy="3687570"/>
                    </a:xfrm>
                    <a:prstGeom prst="rect"/>
                  </pic:spPr>
                </pic:pic>
              </a:graphicData>
            </a:graphic>
          </wp:inline>
        </w:drawing>
      </w:r>
    </w:p>
    <w:p>
      <w:pPr>
        <w:spacing w:before="40" w:after="160"/>
        <w:jc w:val="center"/>
      </w:pPr>
      <w:r>
        <w:rPr>
          <w:rFonts w:ascii="Calibri" w:hAnsi="Calibri"/>
          <w:i/>
          <w:color w:val="60747B"/>
          <w:sz w:val="18"/>
        </w:rPr>
        <w:t>Figure 4. Rectangular-tree controls and query-placement summary.</w:t>
      </w:r>
    </w:p>
    <w:p>
      <w:r>
        <w:rPr>
          <w:rFonts w:ascii="Calibri" w:hAnsi="Calibri"/>
          <w:color w:val="0B2545"/>
          <w:sz w:val="22"/>
        </w:rPr>
        <w:t>The current photo-lyase run contains 25 homologs from 13 species. The query is red; reference homologs are black. The nearest sampled homologs by patristic distance include whiteleg shrimp, silk moth, limpet, and sea anemone.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Cached-example provenance</w:t>
            </w:r>
          </w:p>
          <w:p>
            <w:pPr>
              <w:spacing w:after="0"/>
            </w:pPr>
            <w:r>
              <w:rPr>
                <w:rFonts w:ascii="Calibri" w:hAnsi="Calibri"/>
                <w:color w:val="0B2545"/>
                <w:sz w:val="21"/>
              </w:rPr>
              <w:t>The displayed 25-homolog example was generated by an earlier DIAMOND sensitive-mode cache. The deployed code now uses very-sensitive mode for a new or refreshed analysis, so the candidate set and topology may change after refresh. Report the method stored with the exported result, not only the current software default.</w:t>
            </w:r>
          </w:p>
        </w:tc>
      </w:tr>
    </w:tbl>
    <w:p>
      <w:pPr>
        <w:pStyle w:val="Heading2"/>
      </w:pPr>
      <w:r>
        <w:t>Target-proteome top-hit mode</w:t>
      </w:r>
    </w:p>
    <w:p>
      <w:r>
        <w:rPr>
          <w:rFonts w:ascii="Calibri" w:hAnsi="Calibri"/>
          <w:color w:val="0B2545"/>
          <w:sz w:val="22"/>
        </w:rPr>
        <w:t>This mode ranks DIAMOND local alignments by bit score, excludes the query gene only when the source and target dataset are identical, collapses target isoforms to the highest-ranked protein per annotated gene, and retains the first 25 genes. Cross-dataset runs are labeled target-proteome query placement and report the actual source/target dataset and species counts. No E-value, identity, coverage, or aligned-length rule is used as a biological inclusion threshold. DIAMOND uses ultra-sensitive mode, default low-complexity masking, and a permissive E-value reporting ceiling of 1e9 so weak local matches can be ranked.</w:t>
      </w:r>
    </w:p>
    <w:p>
      <w:pPr>
        <w:numPr>
          <w:ilvl w:val="0"/>
          <w:numId w:val="71"/>
        </w:numPr>
      </w:pPr>
      <w:r>
        <w:rPr>
          <w:rFonts w:ascii="Calibri" w:hAnsi="Calibri"/>
          <w:color w:val="0B2545"/>
          <w:sz w:val="22"/>
        </w:rPr>
        <w:t>Tree tips show gene ID, aligned-region percent identity, and query/target coverage in the rectangular view; the circular view keeps a shorter identity label. Hovering a tip also shows protein ID, product, aligned amino acids, E-value, and bit score.</w:t>
      </w:r>
    </w:p>
    <w:p>
      <w:pPr>
        <w:numPr>
          <w:ilvl w:val="0"/>
          <w:numId w:val="71"/>
        </w:numPr>
      </w:pPr>
      <w:r>
        <w:rPr>
          <w:rFonts w:ascii="Calibri" w:hAnsi="Calibri"/>
          <w:color w:val="0B2545"/>
          <w:sz w:val="22"/>
        </w:rPr>
        <w:t>Teal means a well-supported local match, amber means partial/domain-limited, and gray means weak/unresolved. These are descriptive evidence flags and do not exclude candidates.</w:t>
      </w:r>
    </w:p>
    <w:p>
      <w:pPr>
        <w:numPr>
          <w:ilvl w:val="0"/>
          <w:numId w:val="71"/>
        </w:numPr>
      </w:pPr>
      <w:r>
        <w:rPr>
          <w:rFonts w:ascii="Calibri" w:hAnsi="Calibri"/>
          <w:color w:val="0B2545"/>
          <w:sz w:val="22"/>
        </w:rPr>
        <w:t>The candidate table remains available when fewer than three target gene models are returned or fewer than 50 alignment columns remain after gap filtering; a tree is not inferred from inadequate alignment evidence. Gap-rich alignment-column removal is tree QC, not hit filtering.</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EAF5F3"/>
            <w:tcBorders>
              <w:left w:val="single" w:sz="18" w:color="1F6F74"/>
            </w:tcBorders>
          </w:tcPr>
          <w:p>
            <w:pPr>
              <w:spacing w:after="40"/>
            </w:pPr>
            <w:r>
              <w:rPr>
                <w:rFonts w:ascii="Calibri" w:hAnsi="Calibri"/>
                <w:b/>
                <w:color w:val="1F6F74"/>
                <w:sz w:val="22"/>
              </w:rPr>
              <w:t>Tree interpretation</w:t>
            </w:r>
          </w:p>
          <w:p>
            <w:pPr>
              <w:spacing w:after="0"/>
            </w:pPr>
            <w:r>
              <w:rPr>
                <w:rFonts w:ascii="Calibri" w:hAnsi="Calibri"/>
                <w:color w:val="0B2545"/>
                <w:sz w:val="21"/>
              </w:rPr>
              <w:t>This unrooted exploratory tree contains up to 25 highest-bit-score DIAMOND target-proteome hits after collapsing target isoforms by gene; the query gene is excluded only for an identical source/target dataset, and no biological similarity threshold is used for inclusion. Some leaves may be weak, domain-only, low-complexity, partial, fusion/fission, or unrelated whole-protein matches and should not be assumed to belong to one protein family. Percent identity applies only to the aligned region, and DIAMOND rank reflects local-alignment score rather than evolutionary distance. Tree topology, branch length, and SH-like local support do not establish paralogy, orthology, conserved function, duplication order or time, or justify gene-name transfer.</w:t>
            </w:r>
          </w:p>
        </w:tc>
      </w:tr>
    </w:tbl>
    <w:p>
      <w:pPr>
        <w:pStyle w:val="Heading1"/>
      </w:pPr>
      <w:r>
        <w:t>7. Use the circular tree and export SVG</w:t>
      </w:r>
    </w:p>
    <w:p>
      <w:pPr>
        <w:keepNext/>
        <w:jc w:val="center"/>
      </w:pPr>
      <w:r>
        <w:drawing>
          <wp:inline xmlns:a="http://schemas.openxmlformats.org/drawingml/2006/main" xmlns:pic="http://schemas.openxmlformats.org/drawingml/2006/picture">
            <wp:extent cx="5897880" cy="3687570"/>
            <wp:docPr id="6" name="Picture 6" descr="Figure 5. Circular layout; the selected Daphnia protein is highlighted in red." title="Figure 5"/>
            <wp:cNvGraphicFramePr>
              <a:graphicFrameLocks noChangeAspect="1"/>
            </wp:cNvGraphicFramePr>
            <a:graphic>
              <a:graphicData uri="http://schemas.openxmlformats.org/drawingml/2006/picture">
                <pic:pic>
                  <pic:nvPicPr>
                    <pic:cNvPr id="0" name="05_photo_lyase_phylogeny_circular.png"/>
                    <pic:cNvPicPr/>
                  </pic:nvPicPr>
                  <pic:blipFill>
                    <a:blip r:embed="rId17"/>
                    <a:stretch>
                      <a:fillRect/>
                    </a:stretch>
                  </pic:blipFill>
                  <pic:spPr>
                    <a:xfrm>
                      <a:off x="0" y="0"/>
                      <a:ext cx="5897880" cy="3687570"/>
                    </a:xfrm>
                    <a:prstGeom prst="rect"/>
                  </pic:spPr>
                </pic:pic>
              </a:graphicData>
            </a:graphic>
          </wp:inline>
        </w:drawing>
      </w:r>
    </w:p>
    <w:p>
      <w:pPr>
        <w:spacing w:before="40" w:after="160"/>
        <w:jc w:val="center"/>
      </w:pPr>
      <w:r>
        <w:rPr>
          <w:rFonts w:ascii="Calibri" w:hAnsi="Calibri"/>
          <w:i/>
          <w:color w:val="60747B"/>
          <w:sz w:val="18"/>
        </w:rPr>
        <w:t>Figure 5. Circular layout; the selected Daphnia protein is highlighted in red.</w:t>
      </w:r>
    </w:p>
    <w:p>
      <w:r>
        <w:rPr>
          <w:rFonts w:ascii="Calibri" w:hAnsi="Calibri"/>
          <w:color w:val="0B2545"/>
          <w:sz w:val="22"/>
        </w:rPr>
        <w:t>Circular layout is useful for surveying many tips; rectangular layout is usually easier for reading labels and branch order. Select Download SVG for a publication-ready vector that retains the analysis provenance in SVG metadata.</w:t>
      </w:r>
    </w:p>
    <w:p>
      <w:pPr>
        <w:pStyle w:val="Heading2"/>
      </w:pPr>
      <w:r>
        <w:t>A defensible reporting sentence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EAF5F3"/>
            <w:tcBorders>
              <w:left w:val="single" w:sz="18" w:color="1F6F74"/>
            </w:tcBorders>
          </w:tcPr>
          <w:p>
            <w:pPr>
              <w:spacing w:after="40"/>
            </w:pPr>
            <w:r>
              <w:rPr>
                <w:rFonts w:ascii="Calibri" w:hAnsi="Calibri"/>
                <w:b/>
                <w:color w:val="1F6F74"/>
                <w:sz w:val="22"/>
              </w:rPr>
              <w:t>Example</w:t>
            </w:r>
          </w:p>
          <w:p>
            <w:pPr>
              <w:spacing w:after="0"/>
            </w:pPr>
            <w:r>
              <w:rPr>
                <w:rFonts w:ascii="Calibri" w:hAnsi="Calibri"/>
                <w:color w:val="0B2545"/>
                <w:sz w:val="21"/>
              </w:rPr>
              <w:t>“XP_032781741.2 grouped within the sampled animal photolyase homolog set in an unrooted WAG+Gamma FastTree analysis; this exploratory placement was not treated as a duplication-aware orthology assignment.”</w:t>
            </w:r>
          </w:p>
        </w:tc>
      </w:tr>
    </w:tbl>
    <w:p>
      <w:pPr>
        <w:pStyle w:val="Heading2"/>
      </w:pPr>
      <w:r>
        <w:t>What to report</w:t>
      </w:r>
    </w:p>
    <w:p>
      <w:pPr>
        <w:numPr>
          <w:ilvl w:val="0"/>
          <w:numId w:val="71"/>
        </w:numPr>
      </w:pPr>
      <w:r>
        <w:rPr>
          <w:rFonts w:ascii="Calibri" w:hAnsi="Calibri"/>
          <w:color w:val="0B2545"/>
          <w:sz w:val="22"/>
        </w:rPr>
        <w:t>Query accession and sequence version.</w:t>
      </w:r>
    </w:p>
    <w:p>
      <w:pPr>
        <w:numPr>
          <w:ilvl w:val="0"/>
          <w:numId w:val="71"/>
        </w:numPr>
      </w:pPr>
      <w:r>
        <w:rPr>
          <w:rFonts w:ascii="Calibri" w:hAnsi="Calibri"/>
          <w:color w:val="0B2545"/>
          <w:sz w:val="22"/>
        </w:rPr>
        <w:t>Reference-proteome/database release and candidate-selection thresholds.</w:t>
      </w:r>
    </w:p>
    <w:p>
      <w:pPr>
        <w:numPr>
          <w:ilvl w:val="0"/>
          <w:numId w:val="71"/>
        </w:numPr>
      </w:pPr>
      <w:r>
        <w:rPr>
          <w:rFonts w:ascii="Calibri" w:hAnsi="Calibri"/>
          <w:color w:val="0B2545"/>
          <w:sz w:val="22"/>
        </w:rPr>
        <w:t>DIAMOND, FAMSA, and FastTree versions and analysis parameters.</w:t>
      </w:r>
    </w:p>
    <w:p>
      <w:pPr>
        <w:numPr>
          <w:ilvl w:val="0"/>
          <w:numId w:val="71"/>
        </w:numPr>
      </w:pPr>
      <w:r>
        <w:rPr>
          <w:rFonts w:ascii="Calibri" w:hAnsi="Calibri"/>
          <w:color w:val="0B2545"/>
          <w:sz w:val="22"/>
        </w:rPr>
        <w:t>Analysis scope, source and target assembly, gene-collapsed DIAMOND-hit count, sampled count, visible similarity metrics, alignment columns retained, Newick tree, and whether a root/outgroup was used.</w:t>
      </w:r>
    </w:p>
    <w:p>
      <w:pPr>
        <w:pStyle w:val="Heading1"/>
      </w:pPr>
      <w:r>
        <w:t>8. Inspect InterProScan protein features</w:t>
      </w:r>
    </w:p>
    <w:p>
      <w:pPr>
        <w:keepNext/>
        <w:jc w:val="center"/>
      </w:pPr>
      <w:r>
        <w:drawing>
          <wp:inline xmlns:a="http://schemas.openxmlformats.org/drawingml/2006/main" xmlns:pic="http://schemas.openxmlformats.org/drawingml/2006/picture">
            <wp:extent cx="5897880" cy="3687570"/>
            <wp:docPr id="7" name="Picture 7" descr="Figure 6. Domains &amp; cross-assembly workspace showing InterProScan and cross-assembly evidence panels." title="Figure 6"/>
            <wp:cNvGraphicFramePr>
              <a:graphicFrameLocks noChangeAspect="1"/>
            </wp:cNvGraphicFramePr>
            <a:graphic>
              <a:graphicData uri="http://schemas.openxmlformats.org/drawingml/2006/picture">
                <pic:pic>
                  <pic:nvPicPr>
                    <pic:cNvPr id="0" name="06_photo_lyase_interproscan.png"/>
                    <pic:cNvPicPr/>
                  </pic:nvPicPr>
                  <pic:blipFill>
                    <a:blip r:embed="rId18"/>
                    <a:stretch>
                      <a:fillRect/>
                    </a:stretch>
                  </pic:blipFill>
                  <pic:spPr>
                    <a:xfrm>
                      <a:off x="0" y="0"/>
                      <a:ext cx="5897880" cy="3687570"/>
                    </a:xfrm>
                    <a:prstGeom prst="rect"/>
                  </pic:spPr>
                </pic:pic>
              </a:graphicData>
            </a:graphic>
          </wp:inline>
        </w:drawing>
      </w:r>
    </w:p>
    <w:p>
      <w:pPr>
        <w:spacing w:before="40" w:after="160"/>
        <w:jc w:val="center"/>
      </w:pPr>
      <w:r>
        <w:rPr>
          <w:rFonts w:ascii="Calibri" w:hAnsi="Calibri"/>
          <w:i/>
          <w:color w:val="60747B"/>
          <w:sz w:val="18"/>
        </w:rPr>
        <w:t>Figure 6. Domains &amp; cross-assembly workspace showing InterProScan and cross-assembly evidence panels.</w:t>
      </w:r>
    </w:p>
    <w:p>
      <w:r>
        <w:rPr>
          <w:rFonts w:ascii="Calibri" w:hAnsi="Calibri"/>
          <w:color w:val="0B2545"/>
          <w:sz w:val="22"/>
        </w:rPr>
        <w:t>Select View cached result first. A full InterProScan starts only after the separate Run one InterProScan analysis confirmation. Gene selection and report generation never start a scan.</w:t>
      </w:r>
    </w:p>
    <w:p>
      <w:r>
        <w:rPr>
          <w:rFonts w:ascii="Calibri" w:hAnsi="Calibri"/>
          <w:color w:val="0B2545"/>
          <w:sz w:val="22"/>
        </w:rPr>
        <w:t>The cached XP_032781741.2 result contains 14 signature matches. Major evidence includes PANTHER DNA Photolyase Class-2 (aa 47–508), NCBIfam DNA photolyase class 2 (aa 59–509), the N-terminal photolyase region, and a cryptochrome/DNA-photolyase FAD-binding-domain-like superfamily.</w:t>
      </w:r>
    </w:p>
    <w:p>
      <w:pPr>
        <w:pStyle w:val="Heading2"/>
      </w:pPr>
      <w:r>
        <w:t>How to interpret the track</w:t>
      </w:r>
    </w:p>
    <w:p>
      <w:pPr>
        <w:numPr>
          <w:ilvl w:val="0"/>
          <w:numId w:val="71"/>
        </w:numPr>
      </w:pPr>
      <w:r>
        <w:rPr>
          <w:rFonts w:ascii="Calibri" w:hAnsi="Calibri"/>
          <w:color w:val="0B2545"/>
          <w:sz w:val="22"/>
        </w:rPr>
        <w:t>Colored blocks show signature coordinates on the 523-aa protein; overlapping blocks are independent database evidence, not duplicated protein regions.</w:t>
      </w:r>
    </w:p>
    <w:p>
      <w:pPr>
        <w:numPr>
          <w:ilvl w:val="0"/>
          <w:numId w:val="71"/>
        </w:numPr>
      </w:pPr>
      <w:r>
        <w:rPr>
          <w:rFonts w:ascii="Calibri" w:hAnsi="Calibri"/>
          <w:color w:val="0B2545"/>
          <w:sz w:val="22"/>
        </w:rPr>
        <w:t>GO terms and Reactome links are signature/curated-entry-derived mappings. They are not measured activity or direct pathway-membership evidence in Daphnia.</w:t>
      </w:r>
    </w:p>
    <w:p>
      <w:pPr>
        <w:numPr>
          <w:ilvl w:val="0"/>
          <w:numId w:val="71"/>
        </w:numPr>
      </w:pPr>
      <w:r>
        <w:rPr>
          <w:rFonts w:ascii="Calibri" w:hAnsi="Calibri"/>
          <w:color w:val="0B2545"/>
          <w:sz w:val="22"/>
        </w:rPr>
        <w:t>Use the Cite button to cite InterProScan, InterPro, and the member databases that produced signatures you interpret.</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EAF5F3"/>
            <w:tcBorders>
              <w:left w:val="single" w:sz="18" w:color="1F6F74"/>
            </w:tcBorders>
          </w:tcPr>
          <w:p>
            <w:pPr>
              <w:spacing w:after="40"/>
            </w:pPr>
            <w:r>
              <w:rPr>
                <w:rFonts w:ascii="Calibri" w:hAnsi="Calibri"/>
                <w:b/>
                <w:color w:val="1F6F74"/>
                <w:sz w:val="22"/>
              </w:rPr>
              <w:t>Cache integrity</w:t>
            </w:r>
          </w:p>
          <w:p>
            <w:pPr>
              <w:spacing w:after="0"/>
            </w:pPr>
            <w:r>
              <w:rPr>
                <w:rFonts w:ascii="Calibri" w:hAnsi="Calibri"/>
                <w:color w:val="0B2545"/>
                <w:sz w:val="21"/>
              </w:rPr>
              <w:t>InterPro results are tied to protein sequence MD5, length, and InterPro release. Re-run only when the sequence or database release changes.</w:t>
            </w:r>
          </w:p>
        </w:tc>
      </w:tr>
    </w:tbl>
    <w:p>
      <w:pPr>
        <w:pStyle w:val="Heading2"/>
      </w:pPr>
      <w:r>
        <w:t>Cross-Genome Protein Similarity</w:t>
      </w:r>
    </w:p>
    <w:p>
      <w:r>
        <w:rPr>
          <w:rFonts w:ascii="Calibri" w:hAnsi="Calibri"/>
          <w:color w:val="0B2545"/>
          <w:sz w:val="22"/>
        </w:rPr>
        <w:t>This panel searches the selected annotated Daphnia proteome with DIAMOND instead of requiring an exact genomic seed match. Target proteins are collapsed to genes and the five highest-scoring candidates are shown. A strong label requires a reciprocal best hit and broad coverage; a partial label indicates a high-identity reciprocal match covering nearly all of one protein but only part of the other, consistent with a partial, truncated, or split model. The browser does not use exact genomic seeds for this cross-genome ranking.</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Name-transfer boundary</w:t>
            </w:r>
          </w:p>
          <w:p>
            <w:pPr>
              <w:spacing w:after="0"/>
            </w:pPr>
            <w:r>
              <w:rPr>
                <w:rFonts w:ascii="Calibri" w:hAnsi="Calibri"/>
                <w:color w:val="0B2545"/>
                <w:sz w:val="21"/>
              </w:rPr>
              <w:t>These are homolog candidates, not confirmed orthologs. Do not transfer a gene name from the top hit without duplication-aware phylogeny, domain architecture, model completeness, and preferably synteny or other independent evidence.</w:t>
            </w:r>
          </w:p>
        </w:tc>
      </w:tr>
    </w:tbl>
    <w:p>
      <w:pPr>
        <w:pStyle w:val="Heading1"/>
      </w:pPr>
      <w:r>
        <w:t>9. Export sequence and launch NCBI Protein BLAST</w:t>
      </w:r>
    </w:p>
    <w:p>
      <w:pPr>
        <w:keepNext/>
        <w:jc w:val="center"/>
      </w:pPr>
      <w:r>
        <w:drawing>
          <wp:inline xmlns:a="http://schemas.openxmlformats.org/drawingml/2006/main" xmlns:pic="http://schemas.openxmlformats.org/drawingml/2006/picture">
            <wp:extent cx="5897880" cy="3687570"/>
            <wp:docPr id="8" name="Picture 8" descr="Figure 7. Sequence export, isoform selection, NCBI Protein BLAST, and primer entry point." title="Figure 7"/>
            <wp:cNvGraphicFramePr>
              <a:graphicFrameLocks noChangeAspect="1"/>
            </wp:cNvGraphicFramePr>
            <a:graphic>
              <a:graphicData uri="http://schemas.openxmlformats.org/drawingml/2006/picture">
                <pic:pic>
                  <pic:nvPicPr>
                    <pic:cNvPr id="0" name="07_photo_lyase_sequence_tools.png"/>
                    <pic:cNvPicPr/>
                  </pic:nvPicPr>
                  <pic:blipFill>
                    <a:blip r:embed="rId19"/>
                    <a:stretch>
                      <a:fillRect/>
                    </a:stretch>
                  </pic:blipFill>
                  <pic:spPr>
                    <a:xfrm>
                      <a:off x="0" y="0"/>
                      <a:ext cx="5897880" cy="3687570"/>
                    </a:xfrm>
                    <a:prstGeom prst="rect"/>
                  </pic:spPr>
                </pic:pic>
              </a:graphicData>
            </a:graphic>
          </wp:inline>
        </w:drawing>
      </w:r>
    </w:p>
    <w:p>
      <w:pPr>
        <w:spacing w:before="40" w:after="160"/>
        <w:jc w:val="center"/>
      </w:pPr>
      <w:r>
        <w:rPr>
          <w:rFonts w:ascii="Calibri" w:hAnsi="Calibri"/>
          <w:i/>
          <w:color w:val="60747B"/>
          <w:sz w:val="18"/>
        </w:rPr>
        <w:t>Figure 7. Sequence export, isoform selection, NCBI Protein BLAST, and primer entry point.</w:t>
      </w:r>
    </w:p>
    <w:p>
      <w:pPr>
        <w:pStyle w:val="Heading2"/>
      </w:pPr>
      <w:r>
        <w:t>DNA and protein downloads</w:t>
      </w:r>
    </w:p>
    <w:p>
      <w:pPr>
        <w:numPr>
          <w:ilvl w:val="0"/>
          <w:numId w:val="71"/>
        </w:numPr>
      </w:pPr>
      <w:r>
        <w:rPr>
          <w:rFonts w:ascii="Calibri" w:hAnsi="Calibri"/>
          <w:color w:val="0B2545"/>
          <w:sz w:val="22"/>
        </w:rPr>
        <w:t>Select a transcript isoform or Gene locus / all isoforms.</w:t>
      </w:r>
    </w:p>
    <w:p>
      <w:pPr>
        <w:numPr>
          <w:ilvl w:val="0"/>
          <w:numId w:val="71"/>
        </w:numPr>
      </w:pPr>
      <w:r>
        <w:rPr>
          <w:rFonts w:ascii="Calibri" w:hAnsi="Calibri"/>
          <w:color w:val="0B2545"/>
          <w:sz w:val="22"/>
        </w:rPr>
        <w:t>Set upstream/downstream flanks. Keep Return sequence in gene direction selected when you want a strand-normalized sequence.</w:t>
      </w:r>
    </w:p>
    <w:p>
      <w:pPr>
        <w:numPr>
          <w:ilvl w:val="0"/>
          <w:numId w:val="71"/>
        </w:numPr>
      </w:pPr>
      <w:r>
        <w:rPr>
          <w:rFonts w:ascii="Calibri" w:hAnsi="Calibri"/>
          <w:color w:val="0B2545"/>
          <w:sz w:val="22"/>
        </w:rPr>
        <w:t>Download FASTA for sequence workflows or GenBank when feature annotations are required.</w:t>
      </w:r>
    </w:p>
    <w:p>
      <w:pPr>
        <w:numPr>
          <w:ilvl w:val="0"/>
          <w:numId w:val="71"/>
        </w:numPr>
      </w:pPr>
      <w:r>
        <w:rPr>
          <w:rFonts w:ascii="Calibri" w:hAnsi="Calibri"/>
          <w:color w:val="0B2545"/>
          <w:sz w:val="22"/>
        </w:rPr>
        <w:t>Select one protein isoform or All isoforms, then Download Protein FASTA.</w:t>
      </w:r>
    </w:p>
    <w:p>
      <w:pPr>
        <w:pStyle w:val="Heading2"/>
      </w:pPr>
      <w:r>
        <w:t>NCBI Protein BLAST</w:t>
      </w:r>
    </w:p>
    <w:p>
      <w:pPr>
        <w:numPr>
          <w:ilvl w:val="0"/>
          <w:numId w:val="72"/>
        </w:numPr>
      </w:pPr>
      <w:r>
        <w:rPr>
          <w:rFonts w:ascii="Calibri" w:hAnsi="Calibri"/>
          <w:color w:val="0B2545"/>
          <w:sz w:val="22"/>
        </w:rPr>
        <w:t>Select the protein isoform, for example XP_032781741.2.</w:t>
      </w:r>
    </w:p>
    <w:p>
      <w:pPr>
        <w:numPr>
          <w:ilvl w:val="0"/>
          <w:numId w:val="72"/>
        </w:numPr>
      </w:pPr>
      <w:r>
        <w:rPr>
          <w:rFonts w:ascii="Calibri" w:hAnsi="Calibri"/>
          <w:color w:val="0B2545"/>
          <w:sz w:val="22"/>
        </w:rPr>
        <w:t>Select NCBI Protein BLAST and confirm the external submission.</w:t>
      </w:r>
    </w:p>
    <w:p>
      <w:pPr>
        <w:numPr>
          <w:ilvl w:val="0"/>
          <w:numId w:val="72"/>
        </w:numPr>
      </w:pPr>
      <w:r>
        <w:rPr>
          <w:rFonts w:ascii="Calibri" w:hAnsi="Calibri"/>
          <w:color w:val="0B2545"/>
          <w:sz w:val="22"/>
        </w:rPr>
        <w:t>A new NCBI BLAST tab opens with the FASTA query. Choose the desired NCBI database/organism filters and run the search there.</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Data boundary</w:t>
            </w:r>
          </w:p>
          <w:p>
            <w:pPr>
              <w:spacing w:after="0"/>
            </w:pPr>
            <w:r>
              <w:rPr>
                <w:rFonts w:ascii="Calibri" w:hAnsi="Calibri"/>
                <w:color w:val="0B2545"/>
                <w:sz w:val="21"/>
              </w:rPr>
              <w:t>NCBI Protein BLAST sends the selected protein sequence to the external NCBI service. Local DIAMOND annotation and phylogeny instead use server-side databases. If the NCBI tab does not open, allow pop-ups for the Daphnia Browser domain.</w:t>
            </w:r>
          </w:p>
        </w:tc>
      </w:tr>
    </w:tbl>
    <w:p>
      <w:pPr>
        <w:pStyle w:val="Heading1"/>
      </w:pPr>
      <w:r>
        <w:t>10. Design or test PCR primers</w:t>
      </w:r>
    </w:p>
    <w:p>
      <w:pPr>
        <w:keepNext/>
        <w:jc w:val="center"/>
      </w:pPr>
      <w:r>
        <w:drawing>
          <wp:inline xmlns:a="http://schemas.openxmlformats.org/drawingml/2006/main" xmlns:pic="http://schemas.openxmlformats.org/drawingml/2006/picture">
            <wp:extent cx="5897880" cy="3687570"/>
            <wp:docPr id="9" name="Picture 9" descr="Figure 8. Local whole-genome PCR primer design and specificity screen." title="Figure 8"/>
            <wp:cNvGraphicFramePr>
              <a:graphicFrameLocks noChangeAspect="1"/>
            </wp:cNvGraphicFramePr>
            <a:graphic>
              <a:graphicData uri="http://schemas.openxmlformats.org/drawingml/2006/picture">
                <pic:pic>
                  <pic:nvPicPr>
                    <pic:cNvPr id="0" name="08_primer_design.png"/>
                    <pic:cNvPicPr/>
                  </pic:nvPicPr>
                  <pic:blipFill>
                    <a:blip r:embed="rId20"/>
                    <a:stretch>
                      <a:fillRect/>
                    </a:stretch>
                  </pic:blipFill>
                  <pic:spPr>
                    <a:xfrm>
                      <a:off x="0" y="0"/>
                      <a:ext cx="5897880" cy="3687570"/>
                    </a:xfrm>
                    <a:prstGeom prst="rect"/>
                  </pic:spPr>
                </pic:pic>
              </a:graphicData>
            </a:graphic>
          </wp:inline>
        </w:drawing>
      </w:r>
    </w:p>
    <w:p>
      <w:pPr>
        <w:spacing w:before="40" w:after="160"/>
        <w:jc w:val="center"/>
      </w:pPr>
      <w:r>
        <w:rPr>
          <w:rFonts w:ascii="Calibri" w:hAnsi="Calibri"/>
          <w:i/>
          <w:color w:val="60747B"/>
          <w:sz w:val="18"/>
        </w:rPr>
        <w:t>Figure 8. Local whole-genome PCR primer design and specificity screen.</w:t>
      </w:r>
    </w:p>
    <w:p>
      <w:pPr>
        <w:pStyle w:val="Heading2"/>
      </w:pPr>
      <w:r>
        <w:t>Design around a target</w:t>
      </w:r>
    </w:p>
    <w:p>
      <w:pPr>
        <w:numPr>
          <w:ilvl w:val="0"/>
          <w:numId w:val="72"/>
        </w:numPr>
      </w:pPr>
      <w:r>
        <w:rPr>
          <w:rFonts w:ascii="Calibri" w:hAnsi="Calibri"/>
          <w:color w:val="0B2545"/>
          <w:sz w:val="22"/>
        </w:rPr>
        <w:t>Paste the region that must be fully contained inside the PCR product. A FASTA header is allowed.</w:t>
      </w:r>
    </w:p>
    <w:p>
      <w:pPr>
        <w:numPr>
          <w:ilvl w:val="0"/>
          <w:numId w:val="72"/>
        </w:numPr>
      </w:pPr>
      <w:r>
        <w:rPr>
          <w:rFonts w:ascii="Calibri" w:hAnsi="Calibri"/>
          <w:color w:val="0B2545"/>
          <w:sz w:val="22"/>
        </w:rPr>
        <w:t>Set product and primer-length ranges, then choose how many pairs to return.</w:t>
      </w:r>
    </w:p>
    <w:p>
      <w:pPr>
        <w:numPr>
          <w:ilvl w:val="0"/>
          <w:numId w:val="72"/>
        </w:numPr>
      </w:pPr>
      <w:r>
        <w:rPr>
          <w:rFonts w:ascii="Calibri" w:hAnsi="Calibri"/>
          <w:color w:val="0B2545"/>
          <w:sz w:val="22"/>
        </w:rPr>
        <w:t>Review each primer’s binding sites and every predicted inward-facing product in the selected reference assembly.</w:t>
      </w:r>
    </w:p>
    <w:p>
      <w:pPr>
        <w:pStyle w:val="Heading2"/>
      </w:pPr>
      <w:r>
        <w:t>Test my primer pair</w:t>
      </w:r>
    </w:p>
    <w:p>
      <w:r>
        <w:rPr>
          <w:rFonts w:ascii="Calibri" w:hAnsi="Calibri"/>
          <w:color w:val="0B2545"/>
          <w:sz w:val="22"/>
        </w:rPr>
        <w:t>Paste forward and reverse primers. The server searches conservative near matches and evaluates F/R, F/F, R/R, and R/F pairings over 50–10,000 bp. The displayed amplification likelihood describes reference-sequence matching, not a laboratory probability.</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Specificity limits</w:t>
            </w:r>
          </w:p>
          <w:p>
            <w:pPr>
              <w:spacing w:after="0"/>
            </w:pPr>
            <w:r>
              <w:rPr>
                <w:rFonts w:ascii="Calibri" w:hAnsi="Calibri"/>
                <w:color w:val="0B2545"/>
                <w:sz w:val="21"/>
              </w:rPr>
              <w:t>The screen cannot account for every lab-stock polymorphism, non-reference allele, structural variant, assembly gap/error, polymerase chemistry, or annealing condition. A single strong reference-genome match is favorable but still requires wet-lab validation.</w:t>
            </w:r>
          </w:p>
        </w:tc>
      </w:tr>
    </w:tbl>
    <w:p>
      <w:pPr>
        <w:pStyle w:val="Heading1"/>
      </w:pPr>
      <w:r>
        <w:t>11. CRISPR guide discovery</w:t>
      </w:r>
    </w:p>
    <w:p>
      <w:r>
        <w:rPr>
          <w:rFonts w:ascii="Calibri" w:hAnsi="Calibri"/>
          <w:color w:val="0B2545"/>
          <w:sz w:val="22"/>
        </w:rPr>
        <w:t>Select CRISPR Design after choosing a gene, then review overlap with the relevant transcript isoforms. The browser identifies SpCas9 NGG candidates, evaluates on-target activity with the Azimuth 2.0 Rule Set 2 V3 no-position model, and evaluates reference-genome off-target candidates with the official CFD scoring tables described by Doench et al. (2016).</w:t>
      </w:r>
    </w:p>
    <w:p>
      <w:pPr>
        <w:pStyle w:val="Heading2"/>
      </w:pPr>
      <w:r>
        <w:t>Official on-target score</w:t>
      </w:r>
    </w:p>
    <w:p>
      <w:pPr>
        <w:numPr>
          <w:ilvl w:val="0"/>
          <w:numId w:val="71"/>
        </w:numPr>
      </w:pPr>
      <w:r>
        <w:rPr>
          <w:rFonts w:ascii="Calibri" w:hAnsi="Calibri"/>
          <w:color w:val="0B2545"/>
          <w:sz w:val="22"/>
        </w:rPr>
        <w:t>Rule Set 2 uses the exact 30-nt context expected by Azimuth: 4 upstream bases, the 20-nt spacer, the 3-nt PAM, and 3 downstream bases.</w:t>
      </w:r>
    </w:p>
    <w:p>
      <w:pPr>
        <w:numPr>
          <w:ilvl w:val="0"/>
          <w:numId w:val="71"/>
        </w:numPr>
      </w:pPr>
      <w:r>
        <w:rPr>
          <w:rFonts w:ascii="Calibri" w:hAnsi="Calibri"/>
          <w:color w:val="0B2545"/>
          <w:sz w:val="22"/>
        </w:rPr>
        <w:t>The raw model output is multiplied by 100 for display. It is not a probability and, as documented by Azimuth, can rarely fall just outside 0-100. The browser preserves this behavior rather than clipping the official calculation.</w:t>
      </w:r>
    </w:p>
    <w:p>
      <w:pPr>
        <w:numPr>
          <w:ilvl w:val="0"/>
          <w:numId w:val="71"/>
        </w:numPr>
      </w:pPr>
      <w:r>
        <w:rPr>
          <w:rFonts w:ascii="Calibri" w:hAnsi="Calibri"/>
          <w:color w:val="0B2545"/>
          <w:sz w:val="22"/>
        </w:rPr>
        <w:t>All 947 usable rows from the Azimuth repository no-position fixture agreed within 0.001; maximum absolute difference was below 6 x 10^-10.</w:t>
      </w:r>
    </w:p>
    <w:p>
      <w:pPr>
        <w:pStyle w:val="Heading2"/>
      </w:pPr>
      <w:r>
        <w:t>Validated CFD implementation and off-target screen</w:t>
      </w:r>
    </w:p>
    <w:p>
      <w:pPr>
        <w:numPr>
          <w:ilvl w:val="0"/>
          <w:numId w:val="71"/>
        </w:numPr>
      </w:pPr>
      <w:r>
        <w:rPr>
          <w:rFonts w:ascii="Calibri" w:hAnsi="Calibri"/>
          <w:color w:val="0B2545"/>
          <w:sz w:val="22"/>
        </w:rPr>
        <w:t>All shortlisted 20-nt guides are submitted in one local BLAST+ blastn-short search against the selected reference assembly.</w:t>
      </w:r>
    </w:p>
    <w:p>
      <w:pPr>
        <w:numPr>
          <w:ilvl w:val="0"/>
          <w:numId w:val="71"/>
        </w:numPr>
      </w:pPr>
      <w:r>
        <w:rPr>
          <w:rFonts w:ascii="Calibri" w:hAnsi="Calibri"/>
          <w:color w:val="0B2545"/>
          <w:sz w:val="22"/>
        </w:rPr>
        <w:t>Candidate sites must be full-length, ungapped alignments with no more than four mismatches. The adjacent genomic PAM is checked before scoring.</w:t>
      </w:r>
    </w:p>
    <w:p>
      <w:pPr>
        <w:numPr>
          <w:ilvl w:val="0"/>
          <w:numId w:val="71"/>
        </w:numPr>
      </w:pPr>
      <w:r>
        <w:rPr>
          <w:rFonts w:ascii="Calibri" w:hAnsi="Calibri"/>
          <w:color w:val="0B2545"/>
          <w:sz w:val="22"/>
        </w:rPr>
        <w:t>Each retained site receives the official CFD product of mismatch-identity/position weights and PAM weight (0-1). The table reports counts at CFD &gt;= 0.20 and 0.05-0.20, maximum off-target CFD, locus, strand, PAM, and mismatch count.</w:t>
      </w:r>
    </w:p>
    <w:p>
      <w:pPr>
        <w:numPr>
          <w:ilvl w:val="0"/>
          <w:numId w:val="71"/>
        </w:numPr>
      </w:pPr>
      <w:r>
        <w:rPr>
          <w:rFonts w:ascii="Calibri" w:hAnsi="Calibri"/>
          <w:color w:val="0B2545"/>
          <w:sz w:val="22"/>
        </w:rPr>
        <w:t>The CFD implementation reproduced all seven Cas9 CFD reference cases from the crisprScore test suite after three-decimal rounding.</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Interpretation boundary</w:t>
            </w:r>
          </w:p>
          <w:p>
            <w:pPr>
              <w:spacing w:after="0"/>
            </w:pPr>
            <w:r>
              <w:rPr>
                <w:rFonts w:ascii="Calibri" w:hAnsi="Calibri"/>
                <w:color w:val="0B2545"/>
                <w:sz w:val="21"/>
              </w:rPr>
              <w:t>Rule Set 2 and CFD are the official algorithms, but their scores are not Daphnia-specific experimental probabilities. The bounded reference-genome search does not model DNA/RNA bulges, structural variants, non-reference or lab-stock alleles, chromatin, or PCR/editing chemistry. Absence of a reported candidate is not proof of biological specificity.</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E8EEF5"/>
            <w:tcBorders>
              <w:left w:val="single" w:sz="18" w:color="1F6F74"/>
            </w:tcBorders>
          </w:tcPr>
          <w:p>
            <w:pPr>
              <w:spacing w:after="40"/>
            </w:pPr>
            <w:r>
              <w:rPr>
                <w:rFonts w:ascii="Calibri" w:hAnsi="Calibri"/>
                <w:b/>
                <w:color w:val="1F6F74"/>
                <w:sz w:val="22"/>
              </w:rPr>
              <w:t>Server-efficient without changing the math</w:t>
            </w:r>
          </w:p>
          <w:p>
            <w:pPr>
              <w:spacing w:after="0"/>
            </w:pPr>
            <w:r>
              <w:rPr>
                <w:rFonts w:ascii="Calibri" w:hAnsi="Calibri"/>
                <w:color w:val="0B2545"/>
                <w:sz w:val="21"/>
              </w:rPr>
              <w:t>The server scores a bounded shortlist, sends all guides through one BLAST process, uses at most two BLAST threads in production, shares the analysis queue, and caches identical searches. These controls avoid duplicate work; they do not approximate or simplify Rule Set 2 or CFD calculations.</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E8EEF5"/>
            <w:tcBorders>
              <w:left w:val="single" w:sz="18" w:color="1F4D78"/>
            </w:tcBorders>
          </w:tcPr>
          <w:p>
            <w:pPr>
              <w:spacing w:after="40"/>
            </w:pPr>
            <w:r>
              <w:rPr>
                <w:rFonts w:ascii="Calibri" w:hAnsi="Calibri"/>
                <w:b/>
                <w:color w:val="1F4D78"/>
                <w:sz w:val="22"/>
              </w:rPr>
              <w:t>Browser rank</w:t>
            </w:r>
          </w:p>
          <w:p>
            <w:pPr>
              <w:spacing w:after="0"/>
            </w:pPr>
            <w:r>
              <w:rPr>
                <w:rFonts w:ascii="Calibri" w:hAnsi="Calibri"/>
                <w:color w:val="0B2545"/>
                <w:sz w:val="21"/>
              </w:rPr>
              <w:t>The overall browser rank combines official Rule Set 2, official per-site CFD evidence, target annotation, and primer availability. This composite rank is a Daphnia Browser prioritization rule, not an official Azimuth or CFD output.</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FFF6E6"/>
            <w:tcBorders>
              <w:left w:val="single" w:sz="18" w:color="B97918"/>
            </w:tcBorders>
          </w:tcPr>
          <w:p>
            <w:pPr>
              <w:spacing w:after="40"/>
            </w:pPr>
            <w:r>
              <w:rPr>
                <w:rFonts w:ascii="Calibri" w:hAnsi="Calibri"/>
                <w:b/>
                <w:color w:val="B97918"/>
                <w:sz w:val="22"/>
              </w:rPr>
              <w:t>Automatic RNP-test primers</w:t>
            </w:r>
          </w:p>
          <w:p>
            <w:pPr>
              <w:spacing w:after="0"/>
            </w:pPr>
            <w:r>
              <w:rPr>
                <w:rFonts w:ascii="Calibri" w:hAnsi="Calibri"/>
                <w:color w:val="0B2545"/>
                <w:sz w:val="21"/>
              </w:rPr>
              <w:t>Primer pairs shown beside a guide are screened for exact matches in the selected reference assembly. They do not include the conservative near-match screen. Copy the pair into the separate Test my primer pair workflow before ordering primers.</w:t>
            </w:r>
          </w:p>
        </w:tc>
      </w:tr>
    </w:tbl>
    <w:p>
      <w:pPr>
        <w:pStyle w:val="Heading2"/>
      </w:pPr>
      <w:r>
        <w:t>Required checks</w:t>
      </w:r>
    </w:p>
    <w:p>
      <w:pPr>
        <w:numPr>
          <w:ilvl w:val="0"/>
          <w:numId w:val="71"/>
        </w:numPr>
      </w:pPr>
      <w:r>
        <w:rPr>
          <w:rFonts w:ascii="Calibri" w:hAnsi="Calibri"/>
          <w:color w:val="0B2545"/>
          <w:sz w:val="22"/>
        </w:rPr>
        <w:t>Verify the PAM, strand, cut-site location, intended exon or functional region, and the full lab-stock target sequence.</w:t>
      </w:r>
    </w:p>
    <w:p>
      <w:pPr>
        <w:numPr>
          <w:ilvl w:val="0"/>
          <w:numId w:val="71"/>
        </w:numPr>
      </w:pPr>
      <w:r>
        <w:rPr>
          <w:rFonts w:ascii="Calibri" w:hAnsi="Calibri"/>
          <w:color w:val="0B2545"/>
          <w:sz w:val="22"/>
        </w:rPr>
        <w:t>Inspect strong alternative sites and confirm important off-target loci in the actual experimental stock.</w:t>
      </w:r>
    </w:p>
    <w:p>
      <w:pPr>
        <w:numPr>
          <w:ilvl w:val="0"/>
          <w:numId w:val="71"/>
        </w:numPr>
      </w:pPr>
      <w:r>
        <w:rPr>
          <w:rFonts w:ascii="Calibri" w:hAnsi="Calibri"/>
          <w:color w:val="0B2545"/>
          <w:sz w:val="22"/>
        </w:rPr>
        <w:t>Use independent review and experimental validation before editing.</w:t>
      </w:r>
    </w:p>
    <w:p>
      <w:pPr>
        <w:pStyle w:val="Heading2"/>
      </w:pPr>
      <w:r>
        <w:t>Practical selection strategy</w:t>
      </w:r>
    </w:p>
    <w:p>
      <w:pPr>
        <w:numPr>
          <w:ilvl w:val="0"/>
          <w:numId w:val="72"/>
        </w:numPr>
      </w:pPr>
      <w:r>
        <w:rPr>
          <w:rFonts w:ascii="Calibri" w:hAnsi="Calibri"/>
          <w:color w:val="0B2545"/>
          <w:sz w:val="22"/>
        </w:rPr>
        <w:t>Prefer guides in an exon shared by biologically relevant isoforms.</w:t>
      </w:r>
    </w:p>
    <w:p>
      <w:pPr>
        <w:numPr>
          <w:ilvl w:val="0"/>
          <w:numId w:val="72"/>
        </w:numPr>
      </w:pPr>
      <w:r>
        <w:rPr>
          <w:rFonts w:ascii="Calibri" w:hAnsi="Calibri"/>
          <w:color w:val="0B2545"/>
          <w:sz w:val="22"/>
        </w:rPr>
        <w:t>Avoid common polymorphisms and candidates with strong alternative sites near coding genes.</w:t>
      </w:r>
    </w:p>
    <w:p>
      <w:pPr>
        <w:numPr>
          <w:ilvl w:val="0"/>
          <w:numId w:val="72"/>
        </w:numPr>
      </w:pPr>
      <w:r>
        <w:rPr>
          <w:rFonts w:ascii="Calibri" w:hAnsi="Calibri"/>
          <w:color w:val="0B2545"/>
          <w:sz w:val="22"/>
        </w:rPr>
        <w:t>Design independent guides and a genotyping PCR strategy before beginning the experiment.</w:t>
      </w:r>
    </w:p>
    <w:p>
      <w:pPr>
        <w:pStyle w:val="Heading1"/>
      </w:pPr>
      <w:r>
        <w:t>12. Methods, citations, and reproducible export</w:t>
      </w:r>
    </w:p>
    <w:p>
      <w:pPr>
        <w:keepNext/>
        <w:jc w:val="center"/>
      </w:pPr>
      <w:r>
        <w:drawing>
          <wp:inline xmlns:a="http://schemas.openxmlformats.org/drawingml/2006/main" xmlns:pic="http://schemas.openxmlformats.org/drawingml/2006/picture">
            <wp:extent cx="5897880" cy="3687570"/>
            <wp:docPr id="10" name="Picture 10" descr="Figure 9. Central Methods &amp; citations dialog in the deployed browser." title="Figure 9"/>
            <wp:cNvGraphicFramePr>
              <a:graphicFrameLocks noChangeAspect="1"/>
            </wp:cNvGraphicFramePr>
            <a:graphic>
              <a:graphicData uri="http://schemas.openxmlformats.org/drawingml/2006/picture">
                <pic:pic>
                  <pic:nvPicPr>
                    <pic:cNvPr id="0" name="09_methods_citations.png"/>
                    <pic:cNvPicPr/>
                  </pic:nvPicPr>
                  <pic:blipFill>
                    <a:blip r:embed="rId21"/>
                    <a:stretch>
                      <a:fillRect/>
                    </a:stretch>
                  </pic:blipFill>
                  <pic:spPr>
                    <a:xfrm>
                      <a:off x="0" y="0"/>
                      <a:ext cx="5897880" cy="3687570"/>
                    </a:xfrm>
                    <a:prstGeom prst="rect"/>
                  </pic:spPr>
                </pic:pic>
              </a:graphicData>
            </a:graphic>
          </wp:inline>
        </w:drawing>
      </w:r>
    </w:p>
    <w:p>
      <w:pPr>
        <w:spacing w:before="40" w:after="160"/>
        <w:jc w:val="center"/>
      </w:pPr>
      <w:r>
        <w:rPr>
          <w:rFonts w:ascii="Calibri" w:hAnsi="Calibri"/>
          <w:i/>
          <w:color w:val="60747B"/>
          <w:sz w:val="18"/>
        </w:rPr>
        <w:t>Figure 9. Central Methods &amp; citations dialog in the deployed browser.</w:t>
      </w:r>
    </w:p>
    <w:p>
      <w:r>
        <w:rPr>
          <w:rFonts w:ascii="Calibri" w:hAnsi="Calibri"/>
          <w:color w:val="0B2545"/>
          <w:sz w:val="22"/>
        </w:rPr>
        <w:t>Every major analysis card includes a Cite button. The central dialog separates datasets, software, databases, methods, and asset provenance. Download the BibTeX file for manuscripts or the machine-readable bibliography for automated provenance workflows.</w:t>
      </w:r>
    </w:p>
    <w:p>
      <w:pPr>
        <w:pStyle w:val="Heading2"/>
      </w:pPr>
      <w:r>
        <w:t>Citation rules</w:t>
      </w:r>
    </w:p>
    <w:p>
      <w:pPr>
        <w:numPr>
          <w:ilvl w:val="0"/>
          <w:numId w:val="71"/>
        </w:numPr>
      </w:pPr>
      <w:r>
        <w:rPr>
          <w:rFonts w:ascii="Calibri" w:hAnsi="Calibri"/>
          <w:color w:val="0B2545"/>
          <w:sz w:val="22"/>
        </w:rPr>
        <w:t>Cite the biological dataset/reference assembly and the software/database used to generate the result.</w:t>
      </w:r>
    </w:p>
    <w:p>
      <w:pPr>
        <w:numPr>
          <w:ilvl w:val="0"/>
          <w:numId w:val="71"/>
        </w:numPr>
      </w:pPr>
      <w:r>
        <w:rPr>
          <w:rFonts w:ascii="Calibri" w:hAnsi="Calibri"/>
          <w:color w:val="0B2545"/>
          <w:sz w:val="22"/>
        </w:rPr>
        <w:t>Report stable accessions, release/version, thresholds, and analysis date—not only the paper.</w:t>
      </w:r>
    </w:p>
    <w:p>
      <w:pPr>
        <w:numPr>
          <w:ilvl w:val="0"/>
          <w:numId w:val="71"/>
        </w:numPr>
      </w:pPr>
      <w:r>
        <w:rPr>
          <w:rFonts w:ascii="Calibri" w:hAnsi="Calibri"/>
          <w:color w:val="0B2545"/>
          <w:sz w:val="22"/>
        </w:rPr>
        <w:t>For InterProScan, also cite member databases whose signatures are interpreted.</w:t>
      </w:r>
    </w:p>
    <w:p>
      <w:pPr>
        <w:numPr>
          <w:ilvl w:val="0"/>
          <w:numId w:val="71"/>
        </w:numPr>
      </w:pPr>
      <w:r>
        <w:rPr>
          <w:rFonts w:ascii="Calibri" w:hAnsi="Calibri"/>
          <w:color w:val="0B2545"/>
          <w:sz w:val="22"/>
        </w:rPr>
        <w:t>A method citation documents how evidence was generated; it does not independently validate the conclusion.</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bottom w:w="80" w:type="dxa"/>
              <w:start w:w="120" w:type="dxa"/>
              <w:end w:w="120" w:type="dxa"/>
            </w:tcMar>
            <w:shd w:fill="EAF5F3"/>
            <w:tcBorders>
              <w:left w:val="single" w:sz="18" w:color="1F6F74"/>
            </w:tcBorders>
          </w:tcPr>
          <w:p>
            <w:pPr>
              <w:spacing w:after="40"/>
            </w:pPr>
            <w:r>
              <w:rPr>
                <w:rFonts w:ascii="Calibri" w:hAnsi="Calibri"/>
                <w:b/>
                <w:color w:val="1F6F74"/>
                <w:sz w:val="22"/>
              </w:rPr>
              <w:t>Atlas anatomy schematic</w:t>
            </w:r>
          </w:p>
          <w:p>
            <w:pPr>
              <w:spacing w:after="0"/>
            </w:pPr>
            <w:r>
              <w:rPr>
                <w:rFonts w:ascii="Calibri" w:hAnsi="Calibri"/>
                <w:color w:val="0B2545"/>
                <w:sz w:val="21"/>
              </w:rPr>
              <w:t>Anatomical schematic of adult Daphnia magna generated with AI-assisted image generation using ChatGPT (OpenAI, 2026) and manually refined by the authors based on D. magna anatomy. ChatGPT was used as an image-generation aid; the authors retain responsibility for the final figure.</w:t>
            </w:r>
          </w:p>
        </w:tc>
      </w:tr>
    </w:tbl>
    <w:p>
      <w:pPr>
        <w:pStyle w:val="Heading1"/>
      </w:pPr>
      <w:r>
        <w:t>13. Troubleshooting</w:t>
      </w:r>
    </w:p>
    <w:tbl>
      <w:tblPr>
        <w:tblW w:type="dxa" w:w="9360"/>
        <w:jc w:val="left"/>
        <w:tblLayout w:type="fixed"/>
        <w:tblLook w:firstColumn="1" w:firstRow="1" w:lastColumn="0" w:lastRow="0" w:noHBand="0" w:noVBand="1" w:val="04A0"/>
        <w:tblInd w:w="120" w:type="dxa"/>
      </w:tblPr>
      <w:tblGrid>
        <w:gridCol w:w="3300"/>
        <w:gridCol w:w="6060"/>
      </w:tblGrid>
      <w:tr>
        <w:trPr>
          <w:tblHeader w:val="true"/>
        </w:trPr>
        <w:tc>
          <w:tcPr>
            <w:tcW w:type="dxa" w:w="3300"/>
            <w:vAlign w:val="center"/>
            <w:tcMar>
              <w:top w:w="80" w:type="dxa"/>
              <w:bottom w:w="80" w:type="dxa"/>
              <w:start w:w="120" w:type="dxa"/>
              <w:end w:w="120" w:type="dxa"/>
            </w:tcMar>
            <w:shd w:fill="E8EEF5"/>
          </w:tcPr>
          <w:p>
            <w:r>
              <w:rPr>
                <w:rFonts w:ascii="Calibri" w:hAnsi="Calibri"/>
                <w:b/>
                <w:color w:val="1F4D78"/>
                <w:sz w:val="20"/>
              </w:rPr>
              <w:t>Symptom</w:t>
            </w:r>
          </w:p>
        </w:tc>
        <w:tc>
          <w:tcPr>
            <w:tcW w:type="dxa" w:w="6060"/>
            <w:vAlign w:val="center"/>
            <w:tcMar>
              <w:top w:w="80" w:type="dxa"/>
              <w:bottom w:w="80" w:type="dxa"/>
              <w:start w:w="120" w:type="dxa"/>
              <w:end w:w="120" w:type="dxa"/>
            </w:tcMar>
            <w:shd w:fill="E8EEF5"/>
          </w:tcPr>
          <w:p>
            <w:r>
              <w:rPr>
                <w:rFonts w:ascii="Calibri" w:hAnsi="Calibri"/>
                <w:b/>
                <w:color w:val="1F4D78"/>
                <w:sz w:val="20"/>
              </w:rPr>
              <w:t>Recommended action</w:t>
            </w:r>
          </w:p>
        </w:tc>
      </w:tr>
      <w:tr>
        <w:tc>
          <w:tcPr>
            <w:tcW w:type="dxa" w:w="3300"/>
          </w:tcPr>
          <w:p>
            <w:r>
              <w:rPr>
                <w:rFonts w:ascii="Calibri" w:hAnsi="Calibri"/>
                <w:b/>
                <w:color w:val="0B2545"/>
                <w:sz w:val="20"/>
              </w:rPr>
              <w:t>photo-lyase returns no result</w:t>
            </w:r>
          </w:p>
        </w:tc>
        <w:tc>
          <w:tcPr>
            <w:tcW w:type="dxa" w:w="6060"/>
          </w:tcPr>
          <w:p>
            <w:r>
              <w:rPr>
                <w:rFonts w:ascii="Calibri" w:hAnsi="Calibri"/>
                <w:color w:val="0B2545"/>
                <w:sz w:val="20"/>
              </w:rPr>
              <w:t>Keep the hyphen and use All genomes. For an exact NIES lookup, try LOC116919804 / 116919804 / XP_032781741.2; no text hit in one annotation is not evidence that a homolog is absent.</w:t>
            </w:r>
          </w:p>
        </w:tc>
      </w:tr>
      <w:tr>
        <w:tc>
          <w:tcPr>
            <w:tcW w:type="dxa" w:w="3300"/>
          </w:tcPr>
          <w:p>
            <w:r>
              <w:rPr>
                <w:rFonts w:ascii="Calibri" w:hAnsi="Calibri"/>
                <w:b/>
                <w:color w:val="0B2545"/>
                <w:sz w:val="20"/>
              </w:rPr>
              <w:t>Analysis button appears inactive</w:t>
            </w:r>
          </w:p>
        </w:tc>
        <w:tc>
          <w:tcPr>
            <w:tcW w:type="dxa" w:w="6060"/>
          </w:tcPr>
          <w:p>
            <w:r>
              <w:rPr>
                <w:rFonts w:ascii="Calibri" w:hAnsi="Calibri"/>
                <w:color w:val="0B2545"/>
                <w:sz w:val="20"/>
              </w:rPr>
              <w:t>Wait for the current job; the private server limits concurrent heavy analyses to protect memory and CPU.</w:t>
            </w:r>
          </w:p>
        </w:tc>
      </w:tr>
      <w:tr>
        <w:tc>
          <w:tcPr>
            <w:tcW w:type="dxa" w:w="3300"/>
          </w:tcPr>
          <w:p>
            <w:r>
              <w:rPr>
                <w:rFonts w:ascii="Calibri" w:hAnsi="Calibri"/>
                <w:b/>
                <w:color w:val="0B2545"/>
                <w:sz w:val="20"/>
              </w:rPr>
              <w:t>Session expired / 401</w:t>
            </w:r>
          </w:p>
        </w:tc>
        <w:tc>
          <w:tcPr>
            <w:tcW w:type="dxa" w:w="6060"/>
          </w:tcPr>
          <w:p>
            <w:r>
              <w:rPr>
                <w:rFonts w:ascii="Calibri" w:hAnsi="Calibri"/>
                <w:color w:val="0B2545"/>
                <w:sz w:val="20"/>
              </w:rPr>
              <w:t>Return to the sign-in page and log in again; unsaved browser state may need to be recreated.</w:t>
            </w:r>
          </w:p>
        </w:tc>
      </w:tr>
      <w:tr>
        <w:tc>
          <w:tcPr>
            <w:tcW w:type="dxa" w:w="3300"/>
          </w:tcPr>
          <w:p>
            <w:r>
              <w:rPr>
                <w:rFonts w:ascii="Calibri" w:hAnsi="Calibri"/>
                <w:b/>
                <w:color w:val="0B2545"/>
                <w:sz w:val="20"/>
              </w:rPr>
              <w:t>NCBI Protein BLAST does nothing</w:t>
            </w:r>
          </w:p>
        </w:tc>
        <w:tc>
          <w:tcPr>
            <w:tcW w:type="dxa" w:w="6060"/>
          </w:tcPr>
          <w:p>
            <w:r>
              <w:rPr>
                <w:rFonts w:ascii="Calibri" w:hAnsi="Calibri"/>
                <w:color w:val="0B2545"/>
                <w:sz w:val="20"/>
              </w:rPr>
              <w:t>Allow pop-ups for the site, confirm the submission dialog, and verify that the browser permits forms to blast.ncbi.nlm.nih.gov.</w:t>
            </w:r>
          </w:p>
        </w:tc>
      </w:tr>
      <w:tr>
        <w:tc>
          <w:tcPr>
            <w:tcW w:type="dxa" w:w="3300"/>
          </w:tcPr>
          <w:p>
            <w:r>
              <w:rPr>
                <w:rFonts w:ascii="Calibri" w:hAnsi="Calibri"/>
                <w:b/>
                <w:color w:val="0B2545"/>
                <w:sz w:val="20"/>
              </w:rPr>
              <w:t>InterProScan is slow</w:t>
            </w:r>
          </w:p>
        </w:tc>
        <w:tc>
          <w:tcPr>
            <w:tcW w:type="dxa" w:w="6060"/>
          </w:tcPr>
          <w:p>
            <w:r>
              <w:rPr>
                <w:rFonts w:ascii="Calibri" w:hAnsi="Calibri"/>
                <w:color w:val="0B2545"/>
                <w:sz w:val="20"/>
              </w:rPr>
              <w:t>Use View cached result first. A full local scan starts only after the separate confirmation and can take minutes.</w:t>
            </w:r>
          </w:p>
        </w:tc>
      </w:tr>
      <w:tr>
        <w:tc>
          <w:tcPr>
            <w:tcW w:type="dxa" w:w="3300"/>
          </w:tcPr>
          <w:p>
            <w:r>
              <w:rPr>
                <w:rFonts w:ascii="Calibri" w:hAnsi="Calibri"/>
                <w:b/>
                <w:color w:val="0B2545"/>
                <w:sz w:val="20"/>
              </w:rPr>
              <w:t>Primer target not found</w:t>
            </w:r>
          </w:p>
        </w:tc>
        <w:tc>
          <w:tcPr>
            <w:tcW w:type="dxa" w:w="6060"/>
          </w:tcPr>
          <w:p>
            <w:r>
              <w:rPr>
                <w:rFonts w:ascii="Calibri" w:hAnsi="Calibri"/>
                <w:color w:val="0B2545"/>
                <w:sz w:val="20"/>
              </w:rPr>
              <w:t>Confirm species/assembly, orientation, sequence quality, and whether the pasted sequence belongs to the selected reference.</w:t>
            </w:r>
          </w:p>
        </w:tc>
      </w:tr>
      <w:tr>
        <w:tc>
          <w:tcPr>
            <w:tcW w:type="dxa" w:w="3300"/>
          </w:tcPr>
          <w:p>
            <w:r>
              <w:rPr>
                <w:rFonts w:ascii="Calibri" w:hAnsi="Calibri"/>
                <w:b/>
                <w:color w:val="0B2545"/>
                <w:sz w:val="20"/>
              </w:rPr>
              <w:t>Downloaded file is blocked</w:t>
            </w:r>
          </w:p>
        </w:tc>
        <w:tc>
          <w:tcPr>
            <w:tcW w:type="dxa" w:w="6060"/>
          </w:tcPr>
          <w:p>
            <w:r>
              <w:rPr>
                <w:rFonts w:ascii="Calibri" w:hAnsi="Calibri"/>
                <w:color w:val="0B2545"/>
                <w:sz w:val="20"/>
              </w:rPr>
              <w:t>Allow downloads for the domain and retry from the corresponding Download button.</w:t>
            </w:r>
          </w:p>
        </w:tc>
      </w:tr>
      <w:tr>
        <w:tc>
          <w:tcPr>
            <w:tcW w:type="dxa" w:w="3300"/>
          </w:tcPr>
          <w:p>
            <w:r>
              <w:rPr>
                <w:rFonts w:ascii="Calibri" w:hAnsi="Calibri"/>
                <w:b/>
                <w:color w:val="0B2545"/>
                <w:sz w:val="20"/>
              </w:rPr>
              <w:t>Tree labels are crowded</w:t>
            </w:r>
          </w:p>
        </w:tc>
        <w:tc>
          <w:tcPr>
            <w:tcW w:type="dxa" w:w="6060"/>
          </w:tcPr>
          <w:p>
            <w:r>
              <w:rPr>
                <w:rFonts w:ascii="Calibri" w:hAnsi="Calibri"/>
                <w:color w:val="0B2545"/>
                <w:sz w:val="20"/>
              </w:rPr>
              <w:t>Switch layouts or download SVG and inspect it in a vector editor; do not change branch topology for presentation.</w:t>
            </w:r>
          </w:p>
        </w:tc>
      </w:tr>
    </w:tbl>
    <w:p>
      <w:pPr>
        <w:pStyle w:val="Heading2"/>
      </w:pPr>
      <w:r>
        <w:t>Research-quality checklist</w:t>
      </w:r>
    </w:p>
    <w:p>
      <w:pPr>
        <w:numPr>
          <w:ilvl w:val="0"/>
          <w:numId w:val="71"/>
        </w:numPr>
      </w:pPr>
      <w:r>
        <w:rPr>
          <w:rFonts w:ascii="Calibri" w:hAnsi="Calibri"/>
          <w:color w:val="0B2545"/>
          <w:sz w:val="22"/>
        </w:rPr>
        <w:t>Record assembly/accession, annotation release, isoform, and exact sequence version.</w:t>
      </w:r>
    </w:p>
    <w:p>
      <w:pPr>
        <w:numPr>
          <w:ilvl w:val="0"/>
          <w:numId w:val="71"/>
        </w:numPr>
      </w:pPr>
      <w:r>
        <w:rPr>
          <w:rFonts w:ascii="Calibri" w:hAnsi="Calibri"/>
          <w:color w:val="0B2545"/>
          <w:sz w:val="22"/>
        </w:rPr>
        <w:t>Save raw values and provenance, not screenshots alone.</w:t>
      </w:r>
    </w:p>
    <w:p>
      <w:pPr>
        <w:numPr>
          <w:ilvl w:val="0"/>
          <w:numId w:val="71"/>
        </w:numPr>
      </w:pPr>
      <w:r>
        <w:rPr>
          <w:rFonts w:ascii="Calibri" w:hAnsi="Calibri"/>
          <w:color w:val="0B2545"/>
          <w:sz w:val="22"/>
        </w:rPr>
        <w:t>Separate biological replicates from technical replicates.</w:t>
      </w:r>
    </w:p>
    <w:p>
      <w:pPr>
        <w:numPr>
          <w:ilvl w:val="0"/>
          <w:numId w:val="71"/>
        </w:numPr>
      </w:pPr>
      <w:r>
        <w:rPr>
          <w:rFonts w:ascii="Calibri" w:hAnsi="Calibri"/>
          <w:color w:val="0B2545"/>
          <w:sz w:val="22"/>
        </w:rPr>
        <w:t>Treat low-count RNA-seq patterns and sequence-derived functional predictions conservatively.</w:t>
      </w:r>
    </w:p>
    <w:p>
      <w:pPr>
        <w:numPr>
          <w:ilvl w:val="0"/>
          <w:numId w:val="71"/>
        </w:numPr>
      </w:pPr>
      <w:r>
        <w:rPr>
          <w:rFonts w:ascii="Calibri" w:hAnsi="Calibri"/>
          <w:color w:val="0B2545"/>
          <w:sz w:val="22"/>
        </w:rPr>
        <w:t>Confirm key hypotheses with independent data and wet-lab experiments.</w:t>
      </w:r>
    </w:p>
    <w:p>
      <w:pPr>
        <w:pStyle w:val="Heading1"/>
      </w:pPr>
      <w:r>
        <w:t>14. Selected references</w:t>
      </w:r>
    </w:p>
    <w:p>
      <w:pPr>
        <w:numPr>
          <w:ilvl w:val="0"/>
          <w:numId w:val="71"/>
        </w:numPr>
      </w:pPr>
      <w:r>
        <w:rPr>
          <w:rFonts w:ascii="Calibri" w:hAnsi="Calibri"/>
          <w:color w:val="0B2545"/>
          <w:sz w:val="22"/>
        </w:rPr>
        <w:t>Byeon E et al. (2022). The freshwater water flea Daphnia magna NIES strain genome as a resource for CRISPR/Cas9 gene targeting: The glutathione S-transferase omega 2 gene. Aquatic Toxicology 242:106021. https://doi.org/10.1016/j.aquatox.2021.106021</w:t>
      </w:r>
    </w:p>
    <w:p>
      <w:pPr>
        <w:numPr>
          <w:ilvl w:val="0"/>
          <w:numId w:val="71"/>
        </w:numPr>
      </w:pPr>
      <w:r>
        <w:rPr>
          <w:rFonts w:ascii="Calibri" w:hAnsi="Calibri"/>
          <w:color w:val="0B2545"/>
          <w:sz w:val="22"/>
        </w:rPr>
        <w:t>Chaturvedi A et al. (2023). The hologenome of Daphnia magna reveals possible DNA methylation and microbiome-mediated evolution of the host genome. Nucleic Acids Research 51:9785–9803. https://doi.org/10.1093/nar/gkad685</w:t>
      </w:r>
    </w:p>
    <w:p>
      <w:pPr>
        <w:numPr>
          <w:ilvl w:val="0"/>
          <w:numId w:val="71"/>
        </w:numPr>
      </w:pPr>
      <w:r>
        <w:rPr>
          <w:rFonts w:ascii="Calibri" w:hAnsi="Calibri"/>
          <w:color w:val="0B2545"/>
          <w:sz w:val="22"/>
        </w:rPr>
        <w:t>NCBI GenBank assembly GCA_001632505.1. Daphnia magna strain Xinb3, assembly daphmag2.4; Don Gilbert Daphnia magna Annotation 1. APZ42 is the locus-tag prefix. https://www.ncbi.nlm.nih.gov/datasets/genome/GCA_001632505.1/</w:t>
      </w:r>
    </w:p>
    <w:p>
      <w:pPr>
        <w:numPr>
          <w:ilvl w:val="0"/>
          <w:numId w:val="71"/>
        </w:numPr>
      </w:pPr>
      <w:r>
        <w:rPr>
          <w:rFonts w:ascii="Calibri" w:hAnsi="Calibri"/>
          <w:color w:val="0B2545"/>
          <w:sz w:val="22"/>
        </w:rPr>
        <w:t>NCBI RefSeq assembly GCF_022539665.2. Daphnia carinata strain CSIRO-1, assembly CSIRO_AGI_Dcar_HiC_V3; annotation GCF_022539665.2-RS_2023_09. https://www.ncbi.nlm.nih.gov/datasets/genome/GCF_022539665.2/</w:t>
      </w:r>
    </w:p>
    <w:p>
      <w:pPr>
        <w:numPr>
          <w:ilvl w:val="0"/>
          <w:numId w:val="71"/>
        </w:numPr>
      </w:pPr>
      <w:r>
        <w:rPr>
          <w:rFonts w:ascii="Calibri" w:hAnsi="Calibri"/>
          <w:color w:val="0B2545"/>
          <w:sz w:val="22"/>
        </w:rPr>
        <w:t>NCBI GenBank assembly GCA_013167095.2. Daphnia sinensis strain WSL, assembly Dsi; submitter annotation. https://www.ncbi.nlm.nih.gov/datasets/genome/GCA_013167095.2/</w:t>
      </w:r>
    </w:p>
    <w:p>
      <w:pPr>
        <w:numPr>
          <w:ilvl w:val="0"/>
          <w:numId w:val="71"/>
        </w:numPr>
      </w:pPr>
      <w:r>
        <w:rPr>
          <w:rFonts w:ascii="Calibri" w:hAnsi="Calibri"/>
          <w:color w:val="0B2545"/>
          <w:sz w:val="22"/>
        </w:rPr>
        <w:t>NCBI RefSeq assembly GCF_021234035.1. Daphnia pulicaria isolate SC F1-1A, assembly SC_F0-13Bv2; Annotation Release 100. https://www.ncbi.nlm.nih.gov/datasets/genome/GCF_021234035.1/</w:t>
      </w:r>
    </w:p>
    <w:p>
      <w:pPr>
        <w:numPr>
          <w:ilvl w:val="0"/>
          <w:numId w:val="71"/>
        </w:numPr>
      </w:pPr>
      <w:r>
        <w:rPr>
          <w:rFonts w:ascii="Calibri" w:hAnsi="Calibri"/>
          <w:color w:val="0B2545"/>
          <w:sz w:val="22"/>
        </w:rPr>
        <w:t>NCBI RefSeq assembly GCF_021134715.1. Daphnia pulex isolate KAP4, assembly ASM2113471v1; Annotation Release 100. https://www.ncbi.nlm.nih.gov/datasets/genome/GCF_021134715.1/</w:t>
      </w:r>
    </w:p>
    <w:p>
      <w:pPr>
        <w:numPr>
          <w:ilvl w:val="0"/>
          <w:numId w:val="71"/>
        </w:numPr>
      </w:pPr>
      <w:r>
        <w:rPr>
          <w:rFonts w:ascii="Calibri" w:hAnsi="Calibri"/>
          <w:color w:val="0B2545"/>
          <w:sz w:val="22"/>
        </w:rPr>
        <w:t>Dua A, Yampolsky LY (2025). Transcriptional atlas of Daphnia magna. Comparative Biochemistry and Physiology Part D 55:101504. https://doi.org/10.1016/j.cbd.2025.101504</w:t>
      </w:r>
    </w:p>
    <w:p>
      <w:pPr>
        <w:numPr>
          <w:ilvl w:val="0"/>
          <w:numId w:val="71"/>
        </w:numPr>
      </w:pPr>
      <w:r>
        <w:rPr>
          <w:rFonts w:ascii="Calibri" w:hAnsi="Calibri"/>
          <w:color w:val="0B2545"/>
          <w:sz w:val="22"/>
        </w:rPr>
        <w:t>Nong QD et al. (2020). Two Doublesex1 mutants revealed a tunable gene network underlying intersexuality in Daphnia magna. PLOS ONE 15:e0238256. https://doi.org/10.1371/journal.pone.0238256</w:t>
      </w:r>
    </w:p>
    <w:p>
      <w:pPr>
        <w:numPr>
          <w:ilvl w:val="0"/>
          <w:numId w:val="71"/>
        </w:numPr>
      </w:pPr>
      <w:r>
        <w:rPr>
          <w:rFonts w:ascii="Calibri" w:hAnsi="Calibri"/>
          <w:color w:val="0B2545"/>
          <w:sz w:val="22"/>
        </w:rPr>
        <w:t>Buchfink B, Reuter K, Drost HG (2021). Sensitive protein alignments at tree-of-life scale using DIAMOND. Nature Methods 18:366–368. https://doi.org/10.1038/s41592-021-01101-x</w:t>
      </w:r>
    </w:p>
    <w:p>
      <w:pPr>
        <w:numPr>
          <w:ilvl w:val="0"/>
          <w:numId w:val="71"/>
        </w:numPr>
      </w:pPr>
      <w:r>
        <w:rPr>
          <w:rFonts w:ascii="Calibri" w:hAnsi="Calibri"/>
          <w:color w:val="0B2545"/>
          <w:sz w:val="22"/>
        </w:rPr>
        <w:t>Deorowicz S, Debudaj-Grabysz A, Gudys A (2016). FAMSA: Fast and accurate multiple sequence alignment of huge protein families. Scientific Reports 6:33964. https://doi.org/10.1038/srep33964</w:t>
      </w:r>
    </w:p>
    <w:p>
      <w:pPr>
        <w:numPr>
          <w:ilvl w:val="0"/>
          <w:numId w:val="71"/>
        </w:numPr>
      </w:pPr>
      <w:r>
        <w:rPr>
          <w:rFonts w:ascii="Calibri" w:hAnsi="Calibri"/>
          <w:color w:val="0B2545"/>
          <w:sz w:val="22"/>
        </w:rPr>
        <w:t>Price MN, Dehal PS, Arkin AP (2010). FastTree 2—Approximately Maximum-Likelihood Trees for Large Alignments. PLOS ONE 5:e9490. https://doi.org/10.1371/journal.pone.0009490</w:t>
      </w:r>
    </w:p>
    <w:p>
      <w:pPr>
        <w:numPr>
          <w:ilvl w:val="0"/>
          <w:numId w:val="71"/>
        </w:numPr>
      </w:pPr>
      <w:r>
        <w:rPr>
          <w:rFonts w:ascii="Calibri" w:hAnsi="Calibri"/>
          <w:color w:val="0B2545"/>
          <w:sz w:val="22"/>
        </w:rPr>
        <w:t>The UniProt Consortium (2025). UniProt: the Universal Protein Knowledgebase in 2025. Nucleic Acids Research 53:D609–D617. https://doi.org/10.1093/nar/gkae1010</w:t>
      </w:r>
    </w:p>
    <w:p>
      <w:pPr>
        <w:numPr>
          <w:ilvl w:val="0"/>
          <w:numId w:val="71"/>
        </w:numPr>
      </w:pPr>
      <w:r>
        <w:rPr>
          <w:rFonts w:ascii="Calibri" w:hAnsi="Calibri"/>
          <w:color w:val="0B2545"/>
          <w:sz w:val="22"/>
        </w:rPr>
        <w:t>Jones P et al. (2014). InterProScan 5: genome-scale protein function classification. Bioinformatics 30:1236–1240. https://doi.org/10.1093/bioinformatics/btu031</w:t>
      </w:r>
    </w:p>
    <w:p>
      <w:pPr>
        <w:numPr>
          <w:ilvl w:val="0"/>
          <w:numId w:val="71"/>
        </w:numPr>
      </w:pPr>
      <w:r>
        <w:rPr>
          <w:rFonts w:ascii="Calibri" w:hAnsi="Calibri"/>
          <w:color w:val="0B2545"/>
          <w:sz w:val="22"/>
        </w:rPr>
        <w:t>Blum M et al. (2025). InterPro: the protein sequence classification resource in 2025. Nucleic Acids Research 53:D444–D456. https://doi.org/10.1093/nar/gkae1082</w:t>
      </w:r>
    </w:p>
    <w:p>
      <w:pPr>
        <w:numPr>
          <w:ilvl w:val="0"/>
          <w:numId w:val="71"/>
        </w:numPr>
      </w:pPr>
      <w:r>
        <w:rPr>
          <w:rFonts w:ascii="Calibri" w:hAnsi="Calibri"/>
          <w:color w:val="0B2545"/>
          <w:sz w:val="22"/>
        </w:rPr>
        <w:t>Emms DM, Kelly S (2019). OrthoFinder: phylogenetic orthology inference for comparative genomics. Genome Biology 20:238. https://doi.org/10.1186/s13059-019-1832-y</w:t>
      </w:r>
    </w:p>
    <w:p>
      <w:pPr>
        <w:numPr>
          <w:ilvl w:val="0"/>
          <w:numId w:val="71"/>
        </w:numPr>
      </w:pPr>
      <w:r>
        <w:rPr>
          <w:rFonts w:ascii="Calibri" w:hAnsi="Calibri"/>
          <w:color w:val="0B2545"/>
          <w:sz w:val="22"/>
        </w:rPr>
        <w:t>Camacho C et al. (2009). BLAST+: architecture and applications. BMC Bioinformatics 10:421. https://doi.org/10.1186/1471-2105-10-421</w:t>
      </w:r>
    </w:p>
    <w:p>
      <w:pPr>
        <w:numPr>
          <w:ilvl w:val="0"/>
          <w:numId w:val="71"/>
        </w:numPr>
      </w:pPr>
      <w:r>
        <w:rPr>
          <w:rFonts w:ascii="Calibri" w:hAnsi="Calibri"/>
          <w:color w:val="0B2545"/>
          <w:sz w:val="22"/>
        </w:rPr>
        <w:t>Doench JG et al. (2016). Optimized sgRNA design to maximize activity and minimize off-target effects of CRISPR-Cas9. Nature Biotechnology 34:184–191. https://doi.org/10.1038/nbt.3437</w:t>
      </w:r>
    </w:p>
    <w:p>
      <w:pPr>
        <w:numPr>
          <w:ilvl w:val="0"/>
          <w:numId w:val="71"/>
        </w:numPr>
      </w:pPr>
      <w:r>
        <w:rPr>
          <w:rFonts w:ascii="Calibri" w:hAnsi="Calibri"/>
          <w:color w:val="0B2545"/>
          <w:sz w:val="22"/>
        </w:rPr>
        <w:t>Microsoft Research (2016). Azimuth 2.0: on-target activity prediction using the Rule Set 2 model. https://github.com/MicrosoftResearch/Azimuth</w:t>
      </w:r>
    </w:p>
    <w:p>
      <w:pPr>
        <w:numPr>
          <w:ilvl w:val="0"/>
          <w:numId w:val="71"/>
        </w:numPr>
      </w:pPr>
      <w:r>
        <w:rPr>
          <w:rFonts w:ascii="Calibri" w:hAnsi="Calibri"/>
          <w:color w:val="0B2545"/>
          <w:sz w:val="22"/>
        </w:rPr>
        <w:t>Cock PJA et al. (2009). Biopython: freely available Python tools for computational molecular biology and bioinformatics. Bioinformatics 25:1422–1423. https://doi.org/10.1093/bioinformatics/btp163</w:t>
      </w:r>
    </w:p>
    <w:p>
      <w:pPr>
        <w:numPr>
          <w:ilvl w:val="0"/>
          <w:numId w:val="71"/>
        </w:numPr>
      </w:pPr>
      <w:r>
        <w:rPr>
          <w:rFonts w:ascii="Calibri" w:hAnsi="Calibri"/>
          <w:color w:val="0B2545"/>
          <w:sz w:val="22"/>
        </w:rPr>
        <w:t>Fortin JP et al. crisprScore: on-target and off-target scoring algorithms for CRISPR guide RNAs. Bioconductor. https://doi.org/10.18129/B9.bioc.crisprScore</w:t>
      </w:r>
    </w:p>
    <w:sectPr w:rsidR="00FC693F" w:rsidRPr="0006063C" w:rsidSect="00034616">
      <w:headerReference w:type="default" r:id="rId9"/>
      <w:footerReference w:type="default" r:id="rId10"/>
      <w:footerReference w:type="first" r:id="rId11"/>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0747B"/>
        <w:sz w:val="18"/>
      </w:rPr>
      <w:t xml:space="preserve">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0747B"/>
        <w:sz w:val="18"/>
      </w:rPr>
      <w:t>Sen Xu Lab · University of Missouri · Deployment 2026.09.03.1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60747B"/>
        <w:sz w:val="17"/>
      </w:rPr>
      <w:t>DAPHNIA BROWSER  |  ENGLISH USER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71">
    <w:multiLevelType w:val="singleLevel"/>
    <w:lvl w:ilvl="0">
      <w:start w:val="1"/>
      <w:numFmt w:val="bullet"/>
      <w:lvlText w:val="•"/>
      <w:suff w:val="tab"/>
      <w:pPr>
        <w:tabs>
          <w:tab w:val="num" w:pos="540"/>
        </w:tabs>
        <w:ind w:left="540" w:hanging="270"/>
        <w:spacing w:after="80" w:line="300" w:lineRule="auto"/>
      </w:pPr>
    </w:lvl>
  </w:abstractNum>
  <w:num w:numId="71">
    <w:abstractNumId w:val="71"/>
  </w:num>
  <w:abstractNum w:abstractNumId="72">
    <w:multiLevelType w:val="singleLevel"/>
    <w:lvl w:ilvl="0">
      <w:start w:val="1"/>
      <w:numFmt w:val="decimal"/>
      <w:lvlText w:val="%1."/>
      <w:suff w:val="tab"/>
      <w:pPr>
        <w:tabs>
          <w:tab w:val="num" w:pos="540"/>
        </w:tabs>
        <w:ind w:left="540" w:hanging="270"/>
        <w:spacing w:after="80" w:line="300" w:lineRule="auto"/>
      </w:pPr>
    </w:lvl>
  </w:abstractNum>
  <w:num w:numId="72">
    <w:abstractNumId w:val="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0B254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Daphnia Browser Detailed English User Guide</dc:title>
  <dc:subject>Photo-lyase example workflow and scientific interpretation</dc:subject>
  <dc:creator>Jae Hyo Song · Sen Xu Lab · University of Missouri</dc:creator>
  <cp:keywords>Daphnia magna, genome browser, photo-lyase, RNA-seq, phylogeny, InterProScan, primer, Azimuth Rule Set 2, CFD, CRISPR off-target</cp:keywords>
  <dc:description>Generated for Daphnia Browser deployment 2026.09.03.1 at 2026-09-03T05:17:29.690451+00:00</dc:description>
  <cp:lastModifiedBy/>
  <cp:revision>1</cp:revision>
  <dcterms:created xsi:type="dcterms:W3CDTF">2013-12-23T23:15:00Z</dcterms:created>
  <dcterms:modified xsi:type="dcterms:W3CDTF">2013-12-23T23:15:00Z</dcterms:modified>
  <cp:category/>
</cp:coreProperties>
</file>